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uniQure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0.05 euro</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RTW Investments,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3,941,572.00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3,941,572.00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3,941,572.00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Roderick Wong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3,941,572.00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3,941,572.00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3,941,572.00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uniQure N.V.</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Paasheuvelweg 25a, Amsterdam, P7, 1105 BP.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RTW Investments, LP ("RTW Investments"), a Delaware limited partnership and the investment adviser to certain funds (the "RTW Funds"), with respect to the Ordinary Shares, par value Euro 0.05 (the "Shares") of uniQure N.V.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40 10th Avenue, Floor 7, New York, New York 10014.</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RTW Investments is a Delaware limited partnership. Dr. Wong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0.05 euro</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Rows 5 - 9 of the cover page for each of the Reporting Persons and is incorporated herein by reference. The percentages set forth in Row 11 of the cover pages are calculated based upon 63,067,485 Shares outstanding as of May 1, 2026 as reported in the Company's Quarterly Report on Form 10-Q filed with the Securities and Exchange Commission (the "SEC") on May 5, 2026, plus 5,686,813 Shares issued in connection with a public offering that closed on June 25, 2026, as disclosed in the Issuer's prospectus supplement dated June 23, 2026, filed with the SEC on June 24, 2026.</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RTW Investments: 5.7% Dr. Wong: 5.7%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RTW Investments: 0 Dr. Wong: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RTW Investments: 3,941,572 Shares Dr. Wong: 3,941,572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RTW Investments: 0 Dr. Wong: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RTW Investments: 3,941,572 Shares Dr. Wong: 3,941,572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 The RTW Funds have the right to receive or the power to direct the receipt of dividends from, or the proceeds from the sale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RTW Investments, LP</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Roderick Wong, M.D.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Roderick Wong, M.D., Managing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Roderick Wong</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Roderick Wong, M.D.</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Roderick Wong, M.D.</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pBdr/>
        <w:bidi w:val="0"/>
        <w:spacing w:before="0" w:after="255"/>
        <w:jc w:val="center"/>
        <w:rPr>
          <w:b/>
          <w:sz w:val="22"/>
        </w:rPr>
      </w:pPr>
      <w:bookmarkStart w:id="20" w:name="ex-99-08142026_120836.htm"/>
      <w:bookmarkStart w:id="21" w:name="ksex9908142026_120836"/>
      <w:bookmarkEnd w:id="20"/>
      <w:bookmarkEnd w:id="21"/>
      <w:r>
        <w:rPr>
          <w:b/>
          <w:sz w:val="22"/>
        </w:rPr>
        <w:t>EXHIBIT 99.1</w:t>
      </w:r>
      <w:r>
        <w:br w:type="page"/>
      </w:r>
    </w:p>
    <w:p>
      <w:pPr>
        <w:pStyle w:val="TextBody"/>
        <w:pBdr/>
        <w:bidi w:val="0"/>
        <w:spacing w:before="0" w:after="0"/>
        <w:ind w:left="0" w:right="0" w:hanging="0"/>
        <w:jc w:val="center"/>
        <w:rPr>
          <w:b/>
          <w:sz w:val="22"/>
        </w:rPr>
      </w:pPr>
      <w:r>
        <w:rPr>
          <w:b/>
          <w:sz w:val="22"/>
        </w:rPr>
        <w:t>JOINT FILING AGREEMENT</w:t>
      </w:r>
    </w:p>
    <w:p>
      <w:pPr>
        <w:pStyle w:val="TextBody"/>
        <w:pBdr/>
        <w:bidi w:val="0"/>
        <w:spacing w:before="0" w:after="255"/>
        <w:jc w:val="center"/>
        <w:rPr>
          <w:b/>
          <w:sz w:val="22"/>
        </w:rPr>
      </w:pPr>
      <w:r>
        <w:rPr>
          <w:b/>
          <w:sz w:val="22"/>
        </w:rPr>
        <w:t xml:space="preserve">PURSUANT TO RULE 13(d)-1(k) </w:t>
      </w:r>
    </w:p>
    <w:p>
      <w:pPr>
        <w:pStyle w:val="TextBody"/>
        <w:bidi w:val="0"/>
        <w:spacing w:before="0" w:after="0"/>
        <w:ind w:left="0" w:right="0" w:hanging="0"/>
        <w:jc w:val="left"/>
        <w:rPr>
          <w:sz w:val="22"/>
        </w:rPr>
      </w:pPr>
      <w:r>
        <w:rPr>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hanging="0"/>
        <w:jc w:val="left"/>
        <w:rPr/>
      </w:pPr>
      <w:r>
        <w:rPr/>
      </w:r>
    </w:p>
    <w:p>
      <w:pPr>
        <w:pStyle w:val="TextBody"/>
        <w:bidi w:val="0"/>
        <w:spacing w:before="0" w:after="255"/>
        <w:jc w:val="left"/>
        <w:rPr>
          <w:sz w:val="22"/>
        </w:rPr>
      </w:pPr>
      <w:r>
        <w:rPr>
          <w:sz w:val="22"/>
        </w:rPr>
        <w:t>Dated:  August 14, 2026</w:t>
      </w:r>
    </w:p>
    <w:p>
      <w:pPr>
        <w:pStyle w:val="TextBody"/>
        <w:bidi w:val="0"/>
        <w:spacing w:before="0" w:after="0"/>
        <w:ind w:left="0" w:right="0" w:hanging="0"/>
        <w:jc w:val="left"/>
        <w:rPr>
          <w:b/>
          <w:sz w:val="22"/>
        </w:rPr>
      </w:pPr>
      <w:r>
        <w:rPr>
          <w:b/>
          <w:sz w:val="22"/>
        </w:rPr>
        <w:t>RTW Investments, LP</w:t>
      </w:r>
    </w:p>
    <w:p>
      <w:pPr>
        <w:pStyle w:val="TextBody"/>
        <w:bidi w:val="0"/>
        <w:spacing w:before="0" w:after="0"/>
        <w:ind w:left="0" w:right="0" w:hanging="0"/>
        <w:jc w:val="left"/>
        <w:rPr/>
      </w:pPr>
      <w:r>
        <w:rPr/>
      </w:r>
    </w:p>
    <w:p>
      <w:pPr>
        <w:pStyle w:val="TextBody"/>
        <w:bidi w:val="0"/>
        <w:spacing w:before="0" w:after="0"/>
        <w:ind w:left="0" w:right="0" w:hanging="30"/>
        <w:jc w:val="left"/>
        <w:rPr>
          <w:sz w:val="22"/>
          <w:u w:val="single"/>
        </w:rPr>
      </w:pPr>
      <w:r>
        <w:rPr>
          <w:sz w:val="22"/>
          <w:u w:val="single"/>
        </w:rPr>
        <w:t>/s/ Roderick Wong, M.D.</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85750" cy="160655"/>
                <wp:effectExtent l="0" t="0" r="0" b="0"/>
                <wp:wrapSquare wrapText="right"/>
                <wp:docPr id="21" name="Frame1"/>
                <a:graphic xmlns:a="http://schemas.openxmlformats.org/drawingml/2006/main">
                  <a:graphicData uri="http://schemas.microsoft.com/office/word/2010/wordprocessingShape">
                    <wps:wsp>
                      <wps:cNvSpPr txBox="1"/>
                      <wps:spPr>
                        <a:xfrm>
                          <a:off x="0" y="0"/>
                          <a:ext cx="2857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2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bidi w:val="0"/>
        <w:spacing w:before="0" w:after="0"/>
        <w:ind w:left="0" w:right="0" w:firstLine="450"/>
        <w:jc w:val="left"/>
        <w:rPr>
          <w:sz w:val="22"/>
        </w:rPr>
      </w:pPr>
      <w:r>
        <w:rPr>
          <w:sz w:val="22"/>
        </w:rPr>
        <w:t>Name:  Roderick Wong, M.D.</w:t>
      </w:r>
    </w:p>
    <w:p>
      <w:pPr>
        <w:pStyle w:val="TextBody"/>
        <w:bidi w:val="0"/>
        <w:spacing w:before="0" w:after="0"/>
        <w:ind w:left="0" w:right="0" w:firstLine="450"/>
        <w:jc w:val="left"/>
        <w:rPr>
          <w:sz w:val="22"/>
        </w:rPr>
      </w:pPr>
      <w:r>
        <w:rPr>
          <w:sz w:val="22"/>
        </w:rPr>
        <w:t>Title:  Managing Partner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sz w:val="22"/>
        </w:rPr>
      </w:pPr>
      <w:r>
        <w:rPr>
          <w:b/>
          <w:sz w:val="22"/>
        </w:rPr>
        <w:t>Roderick Wong, M.D.</w:t>
      </w:r>
    </w:p>
    <w:p>
      <w:pPr>
        <w:pStyle w:val="TextBody"/>
        <w:bidi w:val="0"/>
        <w:spacing w:before="0" w:after="0"/>
        <w:ind w:left="0" w:right="0" w:hanging="0"/>
        <w:jc w:val="left"/>
        <w:rPr/>
      </w:pPr>
      <w:r>
        <w:rPr/>
      </w:r>
    </w:p>
    <w:p>
      <w:pPr>
        <w:pStyle w:val="TextBody"/>
        <w:bidi w:val="0"/>
        <w:spacing w:before="0" w:after="0"/>
        <w:ind w:left="0" w:right="0" w:hanging="0"/>
        <w:jc w:val="left"/>
        <w:rPr>
          <w:sz w:val="22"/>
          <w:u w:val="single"/>
        </w:rPr>
      </w:pPr>
      <w:r>
        <w:rPr>
          <w:sz w:val="22"/>
          <w:u w:val="single"/>
        </w:rPr>
        <w:t>/s/ Roderick Wong, M.D.</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1436</Words>
  <Characters>7310</Characters>
  <CharactersWithSpaces>8707</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