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60426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04266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89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Kapusta Matthew C</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UNIQURE N.V.</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PAASHEUVELWEG 25A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uniQure N.V.</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QURE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06/24/2026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37"/>
        <w:spacing w:after="0"/>
        <w:rPr>
          <w:sz w:val="20"/>
          <w:szCs w:val="20"/>
          <w:color w:val="auto"/>
        </w:rPr>
      </w:pPr>
      <w:r>
        <w:rPr>
          <w:rFonts w:ascii="Times New Roman" w:cs="Times New Roman" w:eastAsia="Times New Roman" w:hAnsi="Times New Roman"/>
          <w:sz w:val="17"/>
          <w:szCs w:val="17"/>
          <w:color w:val="0000FF"/>
        </w:rPr>
        <w:t>CEO, Managing Director</w:t>
      </w:r>
    </w:p>
    <w:p>
      <w:pPr>
        <w:spacing w:after="0" w:line="411" w:lineRule="exact"/>
        <w:rPr>
          <w:sz w:val="24"/>
          <w:szCs w:val="24"/>
          <w:color w:val="auto"/>
        </w:rPr>
      </w:pPr>
    </w:p>
    <w:p>
      <w:pPr>
        <w:sectPr>
          <w:pgSz w:w="11900" w:h="16838" w:orient="portrait"/>
          <w:cols w:equalWidth="0" w:num="3">
            <w:col w:w="3180" w:space="720"/>
            <w:col w:w="3103" w:space="720"/>
            <w:col w:w="3357"/>
          </w:cols>
          <w:pgMar w:left="460" w:top="217" w:right="359" w:bottom="892" w:gutter="0" w:footer="0" w:header="0"/>
          <w:type w:val="continuous"/>
        </w:sectPr>
      </w:pPr>
    </w:p>
    <w:p>
      <w:pPr>
        <w:spacing w:after="0" w:line="20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AMSTERDAM</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P7</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1105BP</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7" w:lineRule="exact"/>
        <w:rPr>
          <w:sz w:val="24"/>
          <w:szCs w:val="24"/>
          <w:color w:val="auto"/>
        </w:rPr>
      </w:pPr>
    </w:p>
    <w:p>
      <w:pPr>
        <w:sectPr>
          <w:pgSz w:w="11900" w:h="16838" w:orient="portrait"/>
          <w:cols w:equalWidth="0" w:num="2">
            <w:col w:w="3740" w:space="160"/>
            <w:col w:w="7180"/>
          </w:cols>
          <w:pgMar w:left="460" w:top="217" w:right="359" w:bottom="89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jc w:val="center"/>
              <w:ind w:left="55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50"/>
              <w:spacing w:after="0"/>
              <w:rPr>
                <w:sz w:val="20"/>
                <w:szCs w:val="20"/>
                <w:color w:val="auto"/>
              </w:rPr>
            </w:pPr>
            <w:r>
              <w:rPr>
                <w:rFonts w:ascii="Times New Roman" w:cs="Times New Roman" w:eastAsia="Times New Roman" w:hAnsi="Times New Roman"/>
                <w:sz w:val="17"/>
                <w:szCs w:val="17"/>
                <w:color w:val="0000FF"/>
              </w:rPr>
              <w:t>06/24/2026</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right"/>
              <w:ind w:right="11"/>
              <w:spacing w:after="0"/>
              <w:rPr>
                <w:sz w:val="20"/>
                <w:szCs w:val="20"/>
                <w:color w:val="auto"/>
              </w:rPr>
            </w:pPr>
            <w:r>
              <w:rPr>
                <w:rFonts w:ascii="Times New Roman" w:cs="Times New Roman" w:eastAsia="Times New Roman" w:hAnsi="Times New Roman"/>
                <w:sz w:val="17"/>
                <w:szCs w:val="17"/>
                <w:color w:val="0000FF"/>
              </w:rPr>
              <w:t>4,128</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left="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31.71</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525,923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50"/>
              <w:spacing w:after="0"/>
              <w:rPr>
                <w:sz w:val="20"/>
                <w:szCs w:val="20"/>
                <w:color w:val="auto"/>
              </w:rPr>
            </w:pPr>
            <w:r>
              <w:rPr>
                <w:rFonts w:ascii="Times New Roman" w:cs="Times New Roman" w:eastAsia="Times New Roman" w:hAnsi="Times New Roman"/>
                <w:sz w:val="17"/>
                <w:szCs w:val="17"/>
                <w:color w:val="0000FF"/>
              </w:rPr>
              <w:t>06/24/2026</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right"/>
              <w:ind w:right="11"/>
              <w:spacing w:after="0"/>
              <w:rPr>
                <w:sz w:val="20"/>
                <w:szCs w:val="20"/>
                <w:color w:val="auto"/>
              </w:rPr>
            </w:pPr>
            <w:r>
              <w:rPr>
                <w:rFonts w:ascii="Times New Roman" w:cs="Times New Roman" w:eastAsia="Times New Roman" w:hAnsi="Times New Roman"/>
                <w:sz w:val="17"/>
                <w:szCs w:val="17"/>
                <w:color w:val="0000FF"/>
              </w:rPr>
              <w:t>6,696</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center"/>
              <w:ind w:left="69"/>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50</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519,227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50"/>
              <w:spacing w:after="0"/>
              <w:rPr>
                <w:sz w:val="20"/>
                <w:szCs w:val="20"/>
                <w:color w:val="auto"/>
              </w:rPr>
            </w:pPr>
            <w:r>
              <w:rPr>
                <w:rFonts w:ascii="Times New Roman" w:cs="Times New Roman" w:eastAsia="Times New Roman" w:hAnsi="Times New Roman"/>
                <w:sz w:val="17"/>
                <w:szCs w:val="17"/>
                <w:color w:val="0000FF"/>
              </w:rPr>
              <w:t>06/25/2026</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28,716</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left="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31.71</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547,943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50"/>
              <w:spacing w:after="0"/>
              <w:rPr>
                <w:sz w:val="20"/>
                <w:szCs w:val="20"/>
                <w:color w:val="auto"/>
              </w:rPr>
            </w:pPr>
            <w:r>
              <w:rPr>
                <w:rFonts w:ascii="Times New Roman" w:cs="Times New Roman" w:eastAsia="Times New Roman" w:hAnsi="Times New Roman"/>
                <w:sz w:val="17"/>
                <w:szCs w:val="17"/>
                <w:color w:val="0000FF"/>
              </w:rPr>
              <w:t>06/25/2026</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28,716</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50.02</w:t>
            </w:r>
            <w:r>
              <w:rPr>
                <w:rFonts w:ascii="Times New Roman" w:cs="Times New Roman" w:eastAsia="Times New Roman" w:hAnsi="Times New Roman"/>
                <w:sz w:val="21"/>
                <w:szCs w:val="21"/>
                <w:color w:val="008000"/>
                <w:w w:val="90"/>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519,227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4"/>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7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31.71</w:t>
            </w:r>
          </w:p>
        </w:tc>
        <w:tc>
          <w:tcPr>
            <w:tcW w:w="1040" w:type="dxa"/>
            <w:vAlign w:val="bottom"/>
            <w:vMerge w:val="restart"/>
          </w:tcPr>
          <w:p>
            <w:pPr>
              <w:jc w:val="right"/>
              <w:ind w:right="139"/>
              <w:spacing w:after="0"/>
              <w:rPr>
                <w:sz w:val="20"/>
                <w:szCs w:val="20"/>
                <w:color w:val="auto"/>
              </w:rPr>
            </w:pPr>
            <w:r>
              <w:rPr>
                <w:rFonts w:ascii="Times New Roman" w:cs="Times New Roman" w:eastAsia="Times New Roman" w:hAnsi="Times New Roman"/>
                <w:sz w:val="13"/>
                <w:szCs w:val="13"/>
                <w:color w:val="0000FF"/>
              </w:rPr>
              <w:t>06/24/2026</w:t>
            </w:r>
          </w:p>
        </w:tc>
        <w:tc>
          <w:tcPr>
            <w:tcW w:w="1140" w:type="dxa"/>
            <w:vAlign w:val="bottom"/>
          </w:tcPr>
          <w:p>
            <w:pPr>
              <w:spacing w:after="0"/>
              <w:rPr>
                <w:sz w:val="12"/>
                <w:szCs w:val="12"/>
                <w:color w:val="auto"/>
              </w:rPr>
            </w:pPr>
          </w:p>
        </w:tc>
        <w:tc>
          <w:tcPr>
            <w:tcW w:w="620" w:type="dxa"/>
            <w:vAlign w:val="bottom"/>
            <w:vMerge w:val="restart"/>
          </w:tcPr>
          <w:p>
            <w:pPr>
              <w:ind w:left="80"/>
              <w:spacing w:after="0" w:line="27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180" w:type="dxa"/>
            <w:vAlign w:val="bottom"/>
          </w:tcPr>
          <w:p>
            <w:pPr>
              <w:spacing w:after="0"/>
              <w:rPr>
                <w:sz w:val="12"/>
                <w:szCs w:val="12"/>
                <w:color w:val="auto"/>
              </w:rPr>
            </w:pPr>
          </w:p>
        </w:tc>
        <w:tc>
          <w:tcPr>
            <w:tcW w:w="840" w:type="dxa"/>
            <w:vAlign w:val="bottom"/>
            <w:vMerge w:val="restart"/>
          </w:tcPr>
          <w:p>
            <w:pPr>
              <w:jc w:val="right"/>
              <w:ind w:right="81"/>
              <w:spacing w:after="0"/>
              <w:rPr>
                <w:sz w:val="20"/>
                <w:szCs w:val="20"/>
                <w:color w:val="auto"/>
              </w:rPr>
            </w:pPr>
            <w:r>
              <w:rPr>
                <w:rFonts w:ascii="Times New Roman" w:cs="Times New Roman" w:eastAsia="Times New Roman" w:hAnsi="Times New Roman"/>
                <w:sz w:val="13"/>
                <w:szCs w:val="13"/>
                <w:color w:val="0000FF"/>
              </w:rPr>
              <w:t>4,128</w:t>
            </w: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right"/>
              <w:ind w:right="11"/>
              <w:spacing w:after="0"/>
              <w:rPr>
                <w:sz w:val="20"/>
                <w:szCs w:val="20"/>
                <w:color w:val="auto"/>
              </w:rPr>
            </w:pPr>
            <w:r>
              <w:rPr>
                <w:rFonts w:ascii="Times New Roman" w:cs="Times New Roman" w:eastAsia="Times New Roman" w:hAnsi="Times New Roman"/>
                <w:sz w:val="13"/>
                <w:szCs w:val="13"/>
                <w:color w:val="0000FF"/>
              </w:rPr>
              <w:t>01/25/2029</w:t>
            </w:r>
          </w:p>
        </w:tc>
        <w:tc>
          <w:tcPr>
            <w:tcW w:w="66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4,128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w w:val="94"/>
              </w:rPr>
              <w:t>74,578</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31.71</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06/25/2026</w:t>
            </w:r>
          </w:p>
        </w:tc>
        <w:tc>
          <w:tcPr>
            <w:tcW w:w="1140" w:type="dxa"/>
            <w:vAlign w:val="bottom"/>
          </w:tcPr>
          <w:p>
            <w:pPr>
              <w:spacing w:after="0"/>
              <w:rPr>
                <w:sz w:val="16"/>
                <w:szCs w:val="16"/>
                <w:color w:val="auto"/>
              </w:rPr>
            </w:pPr>
          </w:p>
        </w:tc>
        <w:tc>
          <w:tcPr>
            <w:tcW w:w="620" w:type="dxa"/>
            <w:vAlign w:val="bottom"/>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80" w:type="dxa"/>
            <w:vAlign w:val="bottom"/>
          </w:tcPr>
          <w:p>
            <w:pPr>
              <w:spacing w:after="0"/>
              <w:rPr>
                <w:sz w:val="16"/>
                <w:szCs w:val="16"/>
                <w:color w:val="auto"/>
              </w:rPr>
            </w:pP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13"/>
                <w:szCs w:val="13"/>
                <w:color w:val="0000FF"/>
              </w:rPr>
              <w:t>28,716</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3"/>
                <w:szCs w:val="13"/>
                <w:color w:val="0000FF"/>
              </w:rPr>
              <w:t>01/25/2029</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0000FF"/>
                <w:w w:val="94"/>
              </w:rPr>
              <w:t>28,716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45,862</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ind w:left="120"/>
              <w:spacing w:after="0" w:line="105" w:lineRule="exact"/>
              <w:rPr>
                <w:sz w:val="20"/>
                <w:szCs w:val="20"/>
                <w:color w:val="auto"/>
              </w:rPr>
            </w:pPr>
            <w:r>
              <w:rPr>
                <w:rFonts w:ascii="Times New Roman" w:cs="Times New Roman" w:eastAsia="Times New Roman" w:hAnsi="Times New Roman"/>
                <w:sz w:val="12"/>
                <w:szCs w:val="12"/>
                <w:color w:val="0000FF"/>
              </w:rPr>
              <w:t>Shares</w:t>
            </w: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herein were effected pursuant to a sales plan adopted by the Reporting Person on October 5, 2025 and intended to comply with Rule 10b5-1 under the Securities Exchange Act of 1934.</w:t>
      </w:r>
    </w:p>
    <w:p>
      <w:pPr>
        <w:spacing w:after="0" w:line="16" w:lineRule="exact"/>
        <w:rPr>
          <w:rFonts w:ascii="Times New Roman" w:cs="Times New Roman" w:eastAsia="Times New Roman" w:hAnsi="Times New Roman"/>
          <w:sz w:val="13"/>
          <w:szCs w:val="13"/>
          <w:color w:val="008000"/>
        </w:rPr>
      </w:pPr>
    </w:p>
    <w:p>
      <w:pPr>
        <w:jc w:val="both"/>
        <w:ind w:left="40" w:right="30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$50.00 to $50.30.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vested in full on January 25, 2023.</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Christian Klemt, Attorney-</w:t>
            </w:r>
          </w:p>
        </w:tc>
        <w:tc>
          <w:tcPr>
            <w:tcW w:w="1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06/26/2026</w:t>
            </w:r>
          </w:p>
        </w:tc>
        <w:tc>
          <w:tcPr>
            <w:tcW w:w="0" w:type="dxa"/>
            <w:vAlign w:val="bottom"/>
          </w:tcPr>
          <w:p>
            <w:pPr>
              <w:spacing w:after="0"/>
              <w:rPr>
                <w:sz w:val="1"/>
                <w:szCs w:val="1"/>
                <w:color w:val="auto"/>
              </w:rPr>
            </w:pPr>
          </w:p>
        </w:tc>
      </w:tr>
      <w:tr>
        <w:trPr>
          <w:trHeight w:val="88"/>
        </w:trPr>
        <w:tc>
          <w:tcPr>
            <w:tcW w:w="48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89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36290" TargetMode="External"/><Relationship Id="rId14" Type="http://schemas.openxmlformats.org/officeDocument/2006/relationships/hyperlink" Target="http://www.sec.gov/cgi-bin/browse-edgar?action=getcompany&amp;CIK=000159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2026-06-26T18:45:39Z</dcterms:created>
  <dcterms:modified xsi:type="dcterms:W3CDTF">2026-06-26T18:45:39Z</dcterms:modified>
</cp:coreProperties>
</file>