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xml.htm"/>
      <w:bookmarkStart w:id="1" w:name="ksedgar"/>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Abi-Saab Walid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UNIQURE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PAASHEUVELWEG 25A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AMSTERDAM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P7</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1105BP</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uniQure N.V.</w:t>
              </w:r>
            </w:hyperlink>
            <w:r>
              <w:rPr/>
              <w:t xml:space="preserve"> [ </w:t>
            </w:r>
            <w:r>
              <w:rPr>
                <w:rFonts w:ascii="Times;serif" w:hAnsi="Times;serif"/>
                <w:color w:val="0000FF"/>
                <w:sz w:val="24"/>
                <w:shd w:fill="FFFFFF" w:val="clear"/>
              </w:rPr>
              <w:t>QURE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928"/>
        <w:gridCol w:w="452"/>
        <w:gridCol w:w="795"/>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5.59</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178,235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46.46</w:t>
            </w:r>
            <w:r>
              <w:rPr>
                <w:rFonts w:ascii="Times;serif" w:hAnsi="Times;serif"/>
                <w:color w:val="008000"/>
                <w:position w:val="7"/>
                <w:sz w:val="16"/>
                <w:sz w:val="20"/>
                <w:shd w:fill="FFFFFF" w:val="clear"/>
              </w:rPr>
              <w:t>(2)</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168,235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w:t>
            </w:r>
            <w:r>
              <w:rPr>
                <w:rFonts w:ascii="Times;serif" w:hAnsi="Times;serif"/>
                <w:color w:val="008000"/>
                <w:position w:val="7"/>
                <w:sz w:val="16"/>
                <w:sz w:val="20"/>
                <w:shd w:fill="FFFFFF" w:val="clear"/>
              </w:rPr>
              <w:t>(3)</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148,235</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effected pursuant to a sales plan adopted by the Reporting Person on September 26, 2025 and intended to comply with Rule 10b5-1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$46.19 to $46.97. The Reporting Person undertakes to provide to the Issuer, any shareholder of the Issuer, or the staff of the Securities and Exchange Commission, upon request, full information regarding the number of shares sold at each separate price within the range set forth in the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$46.24 to $46.80. The Reporting Person undertakes to provide to the Issuer, any shareholder of the Issuer, or the staff of the Securities and Exchange Commission, upon request, full information regarding the number of shares sold at each separate price within the range set forth in the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was granted on March 1, 2024 and vested 25% on the first anniversary of the date of grant, and vests 6.25% quarterly thereafter until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Klemt,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5973" TargetMode="External"/><Relationship Id="rId5" Type="http://schemas.openxmlformats.org/officeDocument/2006/relationships/hyperlink" Target="http://www.sec.gov/cgi-bin/browse-edgar?action=getcompany&amp;CIK=000159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4287</Characters>
  <CharactersWithSpaces>5006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