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xml.htm"/>
      <w:bookmarkStart w:id="1" w:name="ksedgar"/>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Kapusta Matthew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UNIQURE N.V.</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PAASHEUVELWEG 25A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AMSTERDAM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P7</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1105BP</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uniQure N.V.</w:t>
              </w:r>
            </w:hyperlink>
            <w:r>
              <w:rPr/>
              <w:t xml:space="preserve"> [ </w:t>
            </w:r>
            <w:r>
              <w:rPr>
                <w:rFonts w:ascii="Times;serif" w:hAnsi="Times;serif"/>
                <w:color w:val="0000FF"/>
                <w:sz w:val="24"/>
                <w:shd w:fill="FFFFFF" w:val="clear"/>
              </w:rPr>
              <w:t>QURE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CEO, Managing Director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9"/>
        <w:gridCol w:w="901"/>
        <w:gridCol w:w="771"/>
        <w:gridCol w:w="598"/>
        <w:gridCol w:w="347"/>
        <w:gridCol w:w="928"/>
        <w:gridCol w:w="452"/>
        <w:gridCol w:w="795"/>
        <w:gridCol w:w="1159"/>
        <w:gridCol w:w="99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21,082</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19.39</w:t>
            </w:r>
            <w:r>
              <w:rPr/>
              <w:t xml:space="preserve"> </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540,309</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9,200</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44.43</w:t>
            </w:r>
            <w:r>
              <w:rPr>
                <w:rFonts w:ascii="Times;serif" w:hAnsi="Times;serif"/>
                <w:color w:val="008000"/>
                <w:position w:val="7"/>
                <w:sz w:val="16"/>
                <w:sz w:val="20"/>
                <w:shd w:fill="FFFFFF" w:val="clear"/>
              </w:rPr>
              <w:t>(2)</w:t>
            </w:r>
            <w:r>
              <w:rPr/>
              <w:t xml:space="preserve"> </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531,109</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4,282</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45.43</w:t>
            </w:r>
            <w:r>
              <w:rPr>
                <w:rFonts w:ascii="Times;serif" w:hAnsi="Times;serif"/>
                <w:color w:val="008000"/>
                <w:position w:val="7"/>
                <w:sz w:val="16"/>
                <w:sz w:val="20"/>
                <w:shd w:fill="FFFFFF" w:val="clear"/>
              </w:rPr>
              <w:t>(3)</w:t>
            </w:r>
            <w:r>
              <w:rPr/>
              <w:t xml:space="preserve"> </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526,827</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7,600</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45.89</w:t>
            </w:r>
            <w:r>
              <w:rPr>
                <w:rFonts w:ascii="Times;serif" w:hAnsi="Times;serif"/>
                <w:color w:val="008000"/>
                <w:position w:val="7"/>
                <w:sz w:val="16"/>
                <w:sz w:val="20"/>
                <w:shd w:fill="FFFFFF" w:val="clear"/>
              </w:rPr>
              <w:t>(4)</w:t>
            </w:r>
            <w:r>
              <w:rPr/>
              <w:t xml:space="preserve"> </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519,227</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9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61"/>
        <w:gridCol w:w="801"/>
        <w:gridCol w:w="801"/>
        <w:gridCol w:w="936"/>
        <w:gridCol w:w="831"/>
        <w:gridCol w:w="846"/>
      </w:tblGrid>
      <w:tr>
        <w:trPr>
          <w:tblHeader w:val="true"/>
        </w:trPr>
        <w:tc>
          <w:tcPr>
            <w:tcW w:w="119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19.39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21,082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01/26/2028</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21,082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herein were effected pursuant to a sales plan adopted by the Reporting Person on October 5, 2025 and intended to comply with Rule 10b5-1 under the Securities Exchange Act of 1934.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$44.10 to $44.80.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shares were sold in multiple transactions at prices ranging from $45.00 to $45.95.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$45.48 to $46.10. The Reporting Person undertakes to provide to the Issuer, any shareholder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Stock Option vested in full on January 26, 2022.</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 Klemt,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36290" TargetMode="External"/><Relationship Id="rId5" Type="http://schemas.openxmlformats.org/officeDocument/2006/relationships/hyperlink" Target="http://www.sec.gov/cgi-bin/browse-edgar?action=getcompany&amp;CIK=000159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863</Words>
  <Characters>4602</Characters>
  <CharactersWithSpaces>5376</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