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20"/>
        </w:rPr>
      </w:pPr>
      <w:bookmarkStart w:id="0" w:name="qure-20260728xs8.htm"/>
      <w:bookmarkStart w:id="1" w:name="ksqure20260728xs8"/>
      <w:bookmarkEnd w:id="0"/>
      <w:bookmarkEnd w:id="1"/>
      <w:r>
        <w:rPr>
          <w:rFonts w:ascii="Times New Roman;Times;serif" w:hAnsi="Times New Roman;Times;serif"/>
          <w:b/>
          <w:sz w:val="20"/>
        </w:rPr>
        <w:t>As filed with the Securities and Exchange Commission on July 29, 2026</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Registration No. 333-</w:t>
      </w:r>
    </w:p>
    <w:p>
      <w:pPr>
        <w:pStyle w:val="TextBody"/>
        <w:pBdr>
          <w:top w:val="single" w:sz="24" w:space="1" w:color="000000"/>
          <w:bottom w:val="single" w:sz="2" w:space="1" w:color="000000"/>
        </w:pBdr>
        <w:bidi w:val="0"/>
        <w:spacing w:before="0" w:after="0"/>
        <w:ind w:left="0" w:right="0" w:hanging="0"/>
        <w:jc w:val="righ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S-8</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REGISTRATION STATEMENT UNDER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SECURITIES ACT OF 1933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UNIQURE N.V.</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tbl>
      <w:tblPr>
        <w:tblW w:w="6512" w:type="dxa"/>
        <w:jc w:val="center"/>
        <w:tblInd w:w="0" w:type="dxa"/>
        <w:tblLayout w:type="fixed"/>
        <w:tblCellMar>
          <w:top w:w="0" w:type="dxa"/>
          <w:left w:w="0" w:type="dxa"/>
          <w:bottom w:w="0" w:type="dxa"/>
          <w:right w:w="0" w:type="dxa"/>
        </w:tblCellMar>
      </w:tblPr>
      <w:tblGrid>
        <w:gridCol w:w="3871"/>
        <w:gridCol w:w="2641"/>
      </w:tblGrid>
      <w:tr>
        <w:trPr/>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Netherlands</w:t>
            </w:r>
          </w:p>
        </w:tc>
        <w:tc>
          <w:tcPr>
            <w:tcW w:w="26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w:t>
              <w:br/>
              <w:t>Organization)</w:t>
            </w:r>
          </w:p>
        </w:tc>
        <w:tc>
          <w:tcPr>
            <w:tcW w:w="26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w:t>
              <w:br/>
              <w:t>No.)</w:t>
            </w:r>
          </w:p>
        </w:tc>
      </w:tr>
      <w:tr>
        <w:trPr/>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Paasheuvelweg 25a,</w:t>
            </w:r>
            <w:r>
              <w:rPr>
                <w:rFonts w:ascii="Times New Roman;Times;serif" w:hAnsi="Times New Roman;Times;serif"/>
                <w:sz w:val="20"/>
              </w:rPr>
              <w:br/>
            </w:r>
            <w:r>
              <w:rPr>
                <w:rFonts w:ascii="Times New Roman;Times;serif" w:hAnsi="Times New Roman;Times;serif"/>
                <w:b/>
                <w:sz w:val="20"/>
              </w:rPr>
              <w:t>1105 BP Amsterdam, The Netherlands</w:t>
            </w:r>
          </w:p>
        </w:tc>
        <w:tc>
          <w:tcPr>
            <w:tcW w:w="26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6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uniQure N.V. Amended and Restated 2014 Share Incentive Plan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(Full Title of the Plan)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Matthew Kapusta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Hartwell Place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Lexington, MA 02421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and Address of Agent For Service)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 +1 339 970 7000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(Telephone Number, Including Area Code, of Agent For Service)</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Copies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Jeannette Potts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Legal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Hartwell Place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Lexington, MA 02421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+1 339 970 7000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Timothy J. Corbett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Morgan, Lewis &amp; Bockius LLP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Federal Street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Boston, MA 02110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+1 617 341 7700</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727" w:type="dxa"/>
        <w:jc w:val="center"/>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Registration Statement on Form S-8 (this “</w:t>
      </w:r>
      <w:r>
        <w:rPr>
          <w:rFonts w:ascii="Times New Roman;Times;serif" w:hAnsi="Times New Roman;Times;serif"/>
          <w:b/>
          <w:i/>
          <w:sz w:val="20"/>
        </w:rPr>
        <w:t>Registration Statement</w:t>
      </w:r>
      <w:r>
        <w:rPr>
          <w:rFonts w:ascii="Times New Roman;Times;serif" w:hAnsi="Times New Roman;Times;serif"/>
          <w:sz w:val="20"/>
        </w:rPr>
        <w:t>”) is being filed by uniQure N.V. (the “</w:t>
      </w:r>
      <w:r>
        <w:rPr>
          <w:rFonts w:ascii="Times New Roman;Times;serif" w:hAnsi="Times New Roman;Times;serif"/>
          <w:b/>
          <w:i/>
          <w:sz w:val="20"/>
        </w:rPr>
        <w:t>Registrant</w:t>
      </w:r>
      <w:r>
        <w:rPr>
          <w:rFonts w:ascii="Times New Roman;Times;serif" w:hAnsi="Times New Roman;Times;serif"/>
          <w:sz w:val="20"/>
        </w:rPr>
        <w:t>”) solely for the purpose of registering an additional 350,000 ordinary shares, par value €0.05 per share, of the Registrant (the “</w:t>
      </w:r>
      <w:r>
        <w:rPr>
          <w:rFonts w:ascii="Times New Roman;Times;serif" w:hAnsi="Times New Roman;Times;serif"/>
          <w:b/>
          <w:i/>
          <w:sz w:val="20"/>
        </w:rPr>
        <w:t>Ordinary Shares</w:t>
      </w:r>
      <w:r>
        <w:rPr>
          <w:rFonts w:ascii="Times New Roman;Times;serif" w:hAnsi="Times New Roman;Times;serif"/>
          <w:sz w:val="20"/>
        </w:rPr>
        <w:t>”) to be offered to participants under the Registrant’s Amended and Restated 2014 Share Incentive Plan, which was originally adopted at the annual general meeting of the Registrant’s shareholders on January 9, 2014 and was subsequently amended or amended and restated, as applicable, as of June 10, 2015, June 15, 2016, June 13, 2018, June 16, 2021, November 15, 2023, June 18, 2024, June 11, 2025, and June 10, 2026 (as so amended or as amended and restated to date, the “</w:t>
      </w:r>
      <w:r>
        <w:rPr>
          <w:rFonts w:ascii="Times New Roman;Times;serif" w:hAnsi="Times New Roman;Times;serif"/>
          <w:b/>
          <w:i/>
          <w:sz w:val="20"/>
        </w:rPr>
        <w:t>2014 Plan</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sz w:val="20"/>
          <w:shd w:fill="FFFFFF" w:val="clear"/>
        </w:rPr>
        <w:t>April 14, 2026</w:t>
      </w:r>
      <w:r>
        <w:rPr>
          <w:rFonts w:ascii="Times New Roman;Times;serif" w:hAnsi="Times New Roman;Times;serif"/>
          <w:sz w:val="20"/>
        </w:rPr>
        <w:t xml:space="preserve">, an amendment to the 2014 Plan (in the form then in effect) was approved by the board of directors of the Registrant and was subsequently approved by the Registrant’s shareholders at its annual general meeting on June 10, 2026 to increase the number of Ordinary Shares reserved for issuance under the 2014 Plan by an additional 350,000 shares.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The Ordinary Shares registered hereby are in addition to and of the same class as those on the Registrant’s registration statements on Form S-8 registering (i) 1,531,471 Ordinary Shares issuable under the 2014 Plan previously filed with the Securities and Exchange Commission (the “</w:t>
      </w:r>
      <w:r>
        <w:rPr>
          <w:rFonts w:ascii="Times New Roman;Times;serif" w:hAnsi="Times New Roman;Times;serif"/>
          <w:b/>
          <w:i/>
          <w:sz w:val="20"/>
        </w:rPr>
        <w:t>Commission</w:t>
      </w:r>
      <w:r>
        <w:rPr>
          <w:rFonts w:ascii="Times New Roman;Times;serif" w:hAnsi="Times New Roman;Times;serif"/>
          <w:sz w:val="20"/>
        </w:rPr>
        <w:t xml:space="preserve">”) on August 6, 2014 (File No. </w:t>
      </w:r>
      <w:hyperlink r:id="rId2">
        <w:r>
          <w:rPr>
            <w:rStyle w:val="InternetLink"/>
            <w:rFonts w:ascii="Times New Roman;Times;serif" w:hAnsi="Times New Roman;Times;serif"/>
            <w:b w:val="false"/>
            <w:i w:val="false"/>
            <w:caps w:val="false"/>
            <w:smallCaps w:val="false"/>
            <w:sz w:val="20"/>
          </w:rPr>
          <w:t>333-197887</w:t>
        </w:r>
      </w:hyperlink>
      <w:r>
        <w:rPr>
          <w:rFonts w:ascii="Times New Roman;Times;serif" w:hAnsi="Times New Roman;Times;serif"/>
          <w:sz w:val="20"/>
        </w:rPr>
        <w:t xml:space="preserve">), (ii) 4,070,000 Ordinary Shares issuable under the 2014 Plan previously filed with the Commission on May 15, 2017 (File No. </w:t>
      </w:r>
      <w:hyperlink r:id="rId3">
        <w:r>
          <w:rPr>
            <w:rStyle w:val="InternetLink"/>
            <w:rFonts w:ascii="Times New Roman;Times;serif" w:hAnsi="Times New Roman;Times;serif"/>
            <w:b w:val="false"/>
            <w:i w:val="false"/>
            <w:caps w:val="false"/>
            <w:smallCaps w:val="false"/>
            <w:sz w:val="20"/>
          </w:rPr>
          <w:t>333-218005</w:t>
        </w:r>
      </w:hyperlink>
      <w:r>
        <w:rPr>
          <w:rFonts w:ascii="Times New Roman;Times;serif" w:hAnsi="Times New Roman;Times;serif"/>
          <w:sz w:val="20"/>
        </w:rPr>
        <w:t xml:space="preserve">), (iii) 3,000,000 Ordinary Shares issuable under the 2014 Plan previously filed with the Commission on June 14, 2018 (File No. </w:t>
      </w:r>
      <w:hyperlink r:id="rId4">
        <w:r>
          <w:rPr>
            <w:rStyle w:val="InternetLink"/>
            <w:rFonts w:ascii="Times New Roman;Times;serif" w:hAnsi="Times New Roman;Times;serif"/>
            <w:b w:val="false"/>
            <w:i w:val="false"/>
            <w:caps w:val="false"/>
            <w:smallCaps w:val="false"/>
            <w:sz w:val="20"/>
          </w:rPr>
          <w:t>333-225629</w:t>
        </w:r>
      </w:hyperlink>
      <w:r>
        <w:rPr>
          <w:rFonts w:ascii="Times New Roman;Times;serif" w:hAnsi="Times New Roman;Times;serif"/>
          <w:sz w:val="20"/>
        </w:rPr>
        <w:t xml:space="preserve">), (iv) 4,000,000 Ordinary Shares issuable under the 2014 Plan previously filed with the Commission on July 20, 2021 (File No. </w:t>
      </w:r>
      <w:hyperlink r:id="rId5">
        <w:r>
          <w:rPr>
            <w:rStyle w:val="InternetLink"/>
            <w:rFonts w:ascii="Times New Roman;Times;serif" w:hAnsi="Times New Roman;Times;serif"/>
            <w:b w:val="false"/>
            <w:i w:val="false"/>
            <w:caps w:val="false"/>
            <w:smallCaps w:val="false"/>
            <w:sz w:val="20"/>
          </w:rPr>
          <w:t>333-258036</w:t>
        </w:r>
      </w:hyperlink>
      <w:r>
        <w:rPr>
          <w:rFonts w:ascii="Times New Roman;Times;serif" w:hAnsi="Times New Roman;Times;serif"/>
          <w:sz w:val="20"/>
        </w:rPr>
        <w:t xml:space="preserve">), (v) 1,750,000 Ordinary Shares issuable under the 2014 Plan previously filed with the Commission on February 28, 2024 (File No. </w:t>
      </w:r>
      <w:hyperlink r:id="rId6">
        <w:r>
          <w:rPr>
            <w:rStyle w:val="InternetLink"/>
            <w:rFonts w:ascii="Times New Roman;Times;serif" w:hAnsi="Times New Roman;Times;serif"/>
            <w:b w:val="false"/>
            <w:i w:val="false"/>
            <w:caps w:val="false"/>
            <w:smallCaps w:val="false"/>
            <w:sz w:val="20"/>
          </w:rPr>
          <w:t>333-277439</w:t>
        </w:r>
      </w:hyperlink>
      <w:r>
        <w:rPr>
          <w:rFonts w:ascii="Times New Roman;Times;serif" w:hAnsi="Times New Roman;Times;serif"/>
          <w:sz w:val="20"/>
        </w:rPr>
        <w:t xml:space="preserve">), (vi) 1,500,000 Ordinary Shares issuable under the 2014 Plan previously filed with the Commission on August 1, 2024 (File No. </w:t>
      </w:r>
      <w:hyperlink r:id="rId7">
        <w:r>
          <w:rPr>
            <w:rStyle w:val="InternetLink"/>
            <w:rFonts w:ascii="Times New Roman;Times;serif" w:hAnsi="Times New Roman;Times;serif"/>
            <w:b w:val="false"/>
            <w:i w:val="false"/>
            <w:caps w:val="false"/>
            <w:smallCaps w:val="false"/>
            <w:sz w:val="20"/>
          </w:rPr>
          <w:t>333-281165</w:t>
        </w:r>
      </w:hyperlink>
      <w:r>
        <w:rPr>
          <w:rFonts w:ascii="Times New Roman;Times;serif" w:hAnsi="Times New Roman;Times;serif"/>
          <w:sz w:val="20"/>
        </w:rPr>
        <w:t xml:space="preserve">), and (vii) 2,400,000 Ordinary Shares issuable under the 2014 Plan previously filed with the Commission on June 30, 2025 (File No. </w:t>
      </w:r>
      <w:hyperlink r:id="rId8">
        <w:r>
          <w:rPr>
            <w:rStyle w:val="InternetLink"/>
            <w:rFonts w:ascii="Times New Roman;Times;serif" w:hAnsi="Times New Roman;Times;serif"/>
            <w:b w:val="false"/>
            <w:i w:val="false"/>
            <w:caps w:val="false"/>
            <w:smallCaps w:val="false"/>
            <w:sz w:val="20"/>
          </w:rPr>
          <w:t>333-288413</w:t>
        </w:r>
      </w:hyperlink>
      <w:r>
        <w:rPr>
          <w:rFonts w:ascii="Times New Roman;Times;serif" w:hAnsi="Times New Roman;Times;serif"/>
          <w:sz w:val="20"/>
        </w:rPr>
        <w:t>) (collectively, the “</w:t>
      </w:r>
      <w:r>
        <w:rPr>
          <w:rFonts w:ascii="Times New Roman;Times;serif" w:hAnsi="Times New Roman;Times;serif"/>
          <w:b/>
          <w:i/>
          <w:sz w:val="20"/>
        </w:rPr>
        <w:t>Previous Registration Statements</w:t>
      </w:r>
      <w:r>
        <w:rPr>
          <w:rFonts w:ascii="Times New Roman;Times;serif" w:hAnsi="Times New Roman;Times;serif"/>
          <w:sz w:val="20"/>
        </w:rPr>
        <w:t>”). In accordance with General Instruction E to Form S-8, the contents of the Previous Registration Statements and the contents incorporated by reference therein are hereby incorporated herein by reference and the information required by Part II is omitted, except as supplemented by the information set forth below.</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INFORMATION REQUIRED IN THE REGISTRATION STATEMENT</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Item 3. Incorporation of Documents by Reference.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documents are incorporated herein by reference: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 </w:t>
      </w:r>
      <w:hyperlink r:id="rId9">
        <w:r>
          <w:rPr>
            <w:rStyle w:val="InternetLink"/>
            <w:rFonts w:ascii="Times New Roman;Times;serif" w:hAnsi="Times New Roman;Times;serif"/>
            <w:b w:val="false"/>
            <w:i w:val="false"/>
            <w:caps w:val="false"/>
            <w:smallCaps w:val="false"/>
            <w:sz w:val="20"/>
          </w:rPr>
          <w:t>The Registrant’s Annual Report on Form 10-K for fiscal year ended December 31, 2025 filed with the Commission on March 2, 2026;</w:t>
        </w:r>
      </w:hyperlink>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(b) The Registrant’s Quarterly Reports on Form 10-Q filed with the Commission on </w:t>
      </w:r>
      <w:hyperlink r:id="rId10">
        <w:r>
          <w:rPr>
            <w:rStyle w:val="InternetLink"/>
            <w:rFonts w:ascii="Times New Roman;Times;serif" w:hAnsi="Times New Roman;Times;serif"/>
            <w:b w:val="false"/>
            <w:i w:val="false"/>
            <w:caps w:val="false"/>
            <w:smallCaps w:val="false"/>
            <w:sz w:val="20"/>
          </w:rPr>
          <w:t>May 5, 2026</w:t>
        </w:r>
      </w:hyperlink>
      <w:r>
        <w:rPr>
          <w:rFonts w:ascii="Times New Roman;Times;serif" w:hAnsi="Times New Roman;Times;serif"/>
          <w:sz w:val="20"/>
        </w:rPr>
        <w:t xml:space="preserve"> and </w:t>
      </w:r>
      <w:hyperlink r:id="rId11">
        <w:r>
          <w:rPr>
            <w:rStyle w:val="InternetLink"/>
            <w:rFonts w:ascii="Times New Roman;Times;serif" w:hAnsi="Times New Roman;Times;serif"/>
            <w:b w:val="false"/>
            <w:i w:val="false"/>
            <w:caps w:val="false"/>
            <w:smallCaps w:val="false"/>
            <w:sz w:val="20"/>
          </w:rPr>
          <w:t>July 29, 2026</w:t>
        </w:r>
      </w:hyperlink>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(c) The information specifically incorporated by reference into the Registrant’s Annual Report on Form 10-K for the year ended December 31, 2025 from the Registrant's </w:t>
      </w:r>
      <w:hyperlink r:id="rId12">
        <w:r>
          <w:rPr>
            <w:rStyle w:val="InternetLink"/>
            <w:rFonts w:ascii="Times New Roman;Times;serif" w:hAnsi="Times New Roman;Times;serif"/>
            <w:b w:val="false"/>
            <w:i w:val="false"/>
            <w:caps w:val="false"/>
            <w:smallCaps w:val="false"/>
            <w:sz w:val="20"/>
          </w:rPr>
          <w:t>Definitive Proxy Statement on Schedule 14A, filed with the Commission on April 27, 2026</w:t>
        </w:r>
      </w:hyperlink>
      <w:r>
        <w:rPr>
          <w:rFonts w:ascii="Times New Roman;Times;serif" w:hAnsi="Times New Roman;Times;serif"/>
          <w:sz w:val="20"/>
        </w:rPr>
        <w:t>; and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(d) The description of the securities contained in the Registrant’s registration statement on </w:t>
      </w:r>
      <w:hyperlink r:id="rId13">
        <w:r>
          <w:rPr>
            <w:rStyle w:val="InternetLink"/>
            <w:rFonts w:ascii="Times New Roman;Times;serif" w:hAnsi="Times New Roman;Times;serif"/>
            <w:b w:val="false"/>
            <w:i w:val="false"/>
            <w:caps w:val="false"/>
            <w:smallCaps w:val="false"/>
            <w:sz w:val="20"/>
          </w:rPr>
          <w:t>Form 8-A (Registration No. 001-36294)</w:t>
        </w:r>
      </w:hyperlink>
      <w:r>
        <w:rPr>
          <w:rFonts w:ascii="Times New Roman;Times;serif" w:hAnsi="Times New Roman;Times;serif"/>
          <w:sz w:val="20"/>
        </w:rPr>
        <w:t xml:space="preserve"> filed with the Commission on January 31, 2014, under the Securities Exchange Act of 1934, as amended (the “</w:t>
      </w:r>
      <w:r>
        <w:rPr>
          <w:rFonts w:ascii="Times New Roman;Times;serif" w:hAnsi="Times New Roman;Times;serif"/>
          <w:b/>
          <w:i/>
          <w:sz w:val="20"/>
        </w:rPr>
        <w:t>Exchange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Act</w:t>
      </w:r>
      <w:r>
        <w:rPr>
          <w:rFonts w:ascii="Times New Roman;Times;serif" w:hAnsi="Times New Roman;Times;serif"/>
          <w:sz w:val="20"/>
        </w:rPr>
        <w:t>”), including any amendment or report filed for the purpose of updating such description.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Item 8. Exhibits.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list of exhibits filed herewith is contained in the Exhibit Index that immediately precedes the signature page hereto and is incorporated herein by reference.</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811"/>
        <w:gridCol w:w="346"/>
        <w:gridCol w:w="9048"/>
      </w:tblGrid>
      <w:tr>
        <w:trPr/>
        <w:tc>
          <w:tcPr>
            <w:tcW w:w="81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04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048"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qure-20260728xex5d1.htm">
              <w:r>
                <w:rPr>
                  <w:rStyle w:val="InternetLink"/>
                  <w:rFonts w:ascii="Times New Roman;Times;serif" w:hAnsi="Times New Roman;Times;serif"/>
                  <w:b w:val="false"/>
                  <w:i w:val="false"/>
                  <w:caps w:val="false"/>
                  <w:smallCaps w:val="false"/>
                  <w:sz w:val="20"/>
                </w:rPr>
                <w:t>Opinion of NautaDutilh N.V., counsel to the Registrant</w:t>
              </w:r>
            </w:hyperlink>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048" w:type="dxa"/>
            <w:tcBorders/>
            <w:tcMar>
              <w:bottom w:w="0" w:type="dxa"/>
            </w:tcMar>
            <w:vAlign w:val="center"/>
          </w:tcPr>
          <w:p>
            <w:pPr>
              <w:pStyle w:val="TableContents"/>
              <w:bidi w:val="0"/>
              <w:spacing w:before="0" w:after="0"/>
              <w:ind w:left="0" w:right="0" w:hanging="0"/>
              <w:jc w:val="left"/>
              <w:rPr/>
            </w:pPr>
            <w:hyperlink w:anchor="qure-20260728xex5d1.htm">
              <w:r>
                <w:rPr>
                  <w:rStyle w:val="InternetLink"/>
                  <w:rFonts w:ascii="Times New Roman;Times;serif" w:hAnsi="Times New Roman;Times;serif"/>
                  <w:b w:val="false"/>
                  <w:i w:val="false"/>
                  <w:caps w:val="false"/>
                  <w:smallCaps w:val="false"/>
                  <w:sz w:val="20"/>
                </w:rPr>
                <w:t>Consent of NautaDutilh N.V. (included in Exhibit No. 5.1)</w:t>
              </w:r>
            </w:hyperlink>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048" w:type="dxa"/>
            <w:tcBorders/>
            <w:tcMar>
              <w:bottom w:w="0" w:type="dxa"/>
            </w:tcMar>
            <w:vAlign w:val="center"/>
          </w:tcPr>
          <w:p>
            <w:pPr>
              <w:pStyle w:val="TableContents"/>
              <w:bidi w:val="0"/>
              <w:spacing w:before="0" w:after="0"/>
              <w:ind w:left="0" w:right="0" w:hanging="0"/>
              <w:jc w:val="left"/>
              <w:rPr/>
            </w:pPr>
            <w:hyperlink w:anchor="qure-20260728xex23d2.htm">
              <w:r>
                <w:rPr>
                  <w:rStyle w:val="InternetLink"/>
                  <w:rFonts w:ascii="Times New Roman;Times;serif" w:hAnsi="Times New Roman;Times;serif"/>
                  <w:b w:val="false"/>
                  <w:i w:val="false"/>
                  <w:caps w:val="false"/>
                  <w:smallCaps w:val="false"/>
                  <w:sz w:val="20"/>
                </w:rPr>
                <w:t>Consent of KPMG Accountants N.V., Independent Registered Public Accounting Firm</w:t>
              </w:r>
            </w:hyperlink>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048" w:type="dxa"/>
            <w:tcBorders/>
            <w:tcMar>
              <w:bottom w:w="0" w:type="dxa"/>
            </w:tcMar>
            <w:vAlign w:val="center"/>
          </w:tcPr>
          <w:p>
            <w:pPr>
              <w:pStyle w:val="TableContents"/>
              <w:bidi w:val="0"/>
              <w:spacing w:before="0" w:after="0"/>
              <w:ind w:left="0" w:right="0" w:hanging="0"/>
              <w:jc w:val="left"/>
              <w:rPr/>
            </w:pPr>
            <w:hyperlink w:anchor="SIGNATURES_352276">
              <w:r>
                <w:rPr>
                  <w:rStyle w:val="InternetLink"/>
                  <w:rFonts w:ascii="Times New Roman;Times;serif" w:hAnsi="Times New Roman;Times;serif"/>
                  <w:b w:val="false"/>
                  <w:i w:val="false"/>
                  <w:caps w:val="false"/>
                  <w:smallCaps w:val="false"/>
                  <w:sz w:val="20"/>
                </w:rPr>
                <w:t>Power of attorney (included on the signature pages of this Registration Statement on Form S-8)</w:t>
              </w:r>
            </w:hyperlink>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Amended and Restated 2014 Share Incentive Plan of uniQure N.V. (incorporated by reference to Exhibit No. 10.1 to the Registrant’s Current Report on Form 8-K filed on June 15, 2026 (File No. 001-36294))</w:t>
              </w:r>
            </w:hyperlink>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048" w:type="dxa"/>
            <w:tcBorders/>
            <w:tcMar>
              <w:bottom w:w="0" w:type="dxa"/>
            </w:tcMar>
            <w:vAlign w:val="center"/>
          </w:tcPr>
          <w:p>
            <w:pPr>
              <w:pStyle w:val="TableContents"/>
              <w:bidi w:val="0"/>
              <w:spacing w:before="0" w:after="0"/>
              <w:ind w:left="0" w:right="0" w:hanging="0"/>
              <w:jc w:val="left"/>
              <w:rPr/>
            </w:pPr>
            <w:hyperlink w:anchor="qure-20260728xexfees.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2" w:name="SIGNATURES_352276"/>
      <w:bookmarkEnd w:id="2"/>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Amsterdam, the Netherlands, on July 29, 2026.</w:t>
      </w:r>
    </w:p>
    <w:p>
      <w:pPr>
        <w:pStyle w:val="TextBody"/>
        <w:bidi w:val="0"/>
        <w:spacing w:before="0" w:after="0"/>
        <w:ind w:left="0" w:right="0" w:hanging="0"/>
        <w:jc w:val="left"/>
        <w:rPr/>
      </w:pPr>
      <w:r>
        <w:rPr/>
        <w:t>​</w:t>
      </w:r>
    </w:p>
    <w:tbl>
      <w:tblPr>
        <w:tblW w:w="2601" w:type="dxa"/>
        <w:jc w:val="left"/>
        <w:tblInd w:w="0" w:type="dxa"/>
        <w:tblLayout w:type="fixed"/>
        <w:tblCellMar>
          <w:top w:w="0" w:type="dxa"/>
          <w:left w:w="0" w:type="dxa"/>
          <w:bottom w:w="0" w:type="dxa"/>
          <w:right w:w="0" w:type="dxa"/>
        </w:tblCellMar>
      </w:tblPr>
      <w:tblGrid>
        <w:gridCol w:w="421"/>
        <w:gridCol w:w="202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4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UNIQURE N.V.</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Kapusta</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 </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Kapusta</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POWER OF ATTORNEY AND SIGNATURES</w:t>
      </w:r>
      <w:bookmarkStart w:id="3" w:name="POWEROFATTORNEYANDSIGNATURES_711910"/>
      <w:bookmarkEnd w:id="3"/>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KNOW ALL PERSONS BY THESE PRESENTS, that each person whose signature appears below constitutes and appoints Matthew Kapusta and Christian Klemt, and each of them, as his or her true and lawful agent, proxy and attorney-in-fact, each acting alone, with full power of substitution and resubstitution, for him or her and in his or her name, place and stead, in any and all capacities, to (i) act on, sign, and file with the SEC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Act, as amended, this Registration Statement has been signed by the following persons in the capacities and on the dates indicated.</w:t>
      </w:r>
    </w:p>
    <w:p>
      <w:pPr>
        <w:pStyle w:val="TextBody"/>
        <w:bidi w:val="0"/>
        <w:spacing w:before="0" w:after="0"/>
        <w:ind w:left="0" w:right="0" w:hanging="0"/>
        <w:jc w:val="left"/>
        <w:rPr/>
      </w:pPr>
      <w:r>
        <w:rPr/>
        <w:t>​</w:t>
      </w:r>
    </w:p>
    <w:tbl>
      <w:tblPr>
        <w:tblW w:w="9620" w:type="dxa"/>
        <w:jc w:val="center"/>
        <w:tblInd w:w="0" w:type="dxa"/>
        <w:tblLayout w:type="fixed"/>
        <w:tblCellMar>
          <w:top w:w="0" w:type="dxa"/>
          <w:left w:w="0" w:type="dxa"/>
          <w:bottom w:w="28" w:type="dxa"/>
          <w:right w:w="0" w:type="dxa"/>
        </w:tblCellMar>
      </w:tblPr>
      <w:tblGrid>
        <w:gridCol w:w="2401"/>
        <w:gridCol w:w="346"/>
        <w:gridCol w:w="5266"/>
        <w:gridCol w:w="346"/>
        <w:gridCol w:w="1261"/>
      </w:tblGrid>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526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2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Kapusta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and Director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Kapusta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Christian Klemt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Christian Klemt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Madhavan Balachandran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Madhavan Balachandran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Robert Gut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 Gut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Rachelle Jacques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Rachelle Jacques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Jack Kaye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Jack Kaye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Meek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Meek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Leonard Post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Leonard Post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pPr>
            <w:r>
              <w:rPr/>
              <w:t>​</w:t>
            </w:r>
          </w:p>
        </w:tc>
      </w:tr>
      <w:tr>
        <w:trPr/>
        <w:tc>
          <w:tcPr>
            <w:tcW w:w="24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Jeremy P. Springhorn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2026</w:t>
            </w:r>
          </w:p>
        </w:tc>
      </w:tr>
      <w:tr>
        <w:trPr/>
        <w:tc>
          <w:tcPr>
            <w:tcW w:w="24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Jeremy P. Springhorn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6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AUTHORIZED UNITED STATES REPRESENTATIVE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of the Securities Act of 1933, the undersigned, the duly authorized representative in the United States of the aforementioned Registrant, has signed this Registration Statement on July 29, 2026.</w:t>
      </w:r>
    </w:p>
    <w:p>
      <w:pPr>
        <w:pStyle w:val="TextBody"/>
        <w:bidi w:val="0"/>
        <w:spacing w:before="0" w:after="0"/>
        <w:ind w:left="0" w:right="0" w:hanging="0"/>
        <w:jc w:val="left"/>
        <w:rPr/>
      </w:pPr>
      <w:r>
        <w:rPr/>
        <w:t>​</w:t>
      </w:r>
    </w:p>
    <w:tbl>
      <w:tblPr>
        <w:tblW w:w="3709" w:type="dxa"/>
        <w:jc w:val="left"/>
        <w:tblInd w:w="0" w:type="dxa"/>
        <w:tblLayout w:type="fixed"/>
        <w:tblCellMar>
          <w:top w:w="0" w:type="dxa"/>
          <w:left w:w="0" w:type="dxa"/>
          <w:bottom w:w="0" w:type="dxa"/>
          <w:right w:w="0" w:type="dxa"/>
        </w:tblCellMar>
      </w:tblPr>
      <w:tblGrid>
        <w:gridCol w:w="755"/>
        <w:gridCol w:w="2800"/>
        <w:gridCol w:w="154"/>
      </w:tblGrid>
      <w:tr>
        <w:trPr/>
        <w:tc>
          <w:tcPr>
            <w:tcW w:w="35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UNIQURE, INC.</w:t>
            </w:r>
          </w:p>
        </w:tc>
        <w:tc>
          <w:tcPr>
            <w:tcW w:w="154" w:type="dxa"/>
            <w:tcBorders/>
            <w:vAlign w:val="center"/>
          </w:tcPr>
          <w:p>
            <w:pPr>
              <w:pStyle w:val="TableContents"/>
              <w:bidi w:val="0"/>
              <w:spacing w:before="0" w:after="0"/>
              <w:ind w:left="0" w:right="0" w:hanging="0"/>
              <w:jc w:val="left"/>
              <w:rPr/>
            </w:pPr>
            <w:r>
              <w:rPr/>
              <w:t>​</w:t>
            </w:r>
          </w:p>
        </w:tc>
      </w:tr>
      <w:tr>
        <w:trPr/>
        <w:tc>
          <w:tcPr>
            <w:tcW w:w="755" w:type="dxa"/>
            <w:tcBorders/>
            <w:vAlign w:val="center"/>
          </w:tcPr>
          <w:p>
            <w:pPr>
              <w:pStyle w:val="TableContents"/>
              <w:bidi w:val="0"/>
              <w:spacing w:before="0" w:after="0"/>
              <w:ind w:left="0" w:right="0" w:hanging="0"/>
              <w:jc w:val="left"/>
              <w:rPr/>
            </w:pPr>
            <w:r>
              <w:rPr/>
              <w:t> </w:t>
            </w:r>
          </w:p>
        </w:tc>
        <w:tc>
          <w:tcPr>
            <w:tcW w:w="280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0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Jeannette Potts</w:t>
            </w:r>
          </w:p>
        </w:tc>
        <w:tc>
          <w:tcPr>
            <w:tcW w:w="154" w:type="dxa"/>
            <w:tcBorders/>
            <w:vAlign w:val="center"/>
          </w:tcPr>
          <w:p>
            <w:pPr>
              <w:pStyle w:val="TableContents"/>
              <w:bidi w:val="0"/>
              <w:spacing w:before="0" w:after="0"/>
              <w:ind w:left="0" w:right="0" w:hanging="0"/>
              <w:jc w:val="left"/>
              <w:rPr/>
            </w:pPr>
            <w:r>
              <w:rPr/>
              <w:t>​</w:t>
            </w:r>
          </w:p>
        </w:tc>
      </w:tr>
      <w:tr>
        <w:trPr/>
        <w:tc>
          <w:tcPr>
            <w:tcW w:w="35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Jeannette Potts</w:t>
            </w:r>
          </w:p>
        </w:tc>
        <w:tc>
          <w:tcPr>
            <w:tcW w:w="154" w:type="dxa"/>
            <w:tcBorders/>
            <w:vAlign w:val="center"/>
          </w:tcPr>
          <w:p>
            <w:pPr>
              <w:pStyle w:val="TableContents"/>
              <w:bidi w:val="0"/>
              <w:spacing w:before="0" w:after="0"/>
              <w:ind w:left="0" w:right="0" w:hanging="0"/>
              <w:jc w:val="left"/>
              <w:rPr/>
            </w:pPr>
            <w:r>
              <w:rPr/>
              <w:t>​</w:t>
            </w:r>
          </w:p>
        </w:tc>
      </w:tr>
      <w:tr>
        <w:trPr/>
        <w:tc>
          <w:tcPr>
            <w:tcW w:w="35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Legal and Compliance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4" w:name="qure-20260728xex5d1.htm"/>
      <w:bookmarkStart w:id="5" w:name="ksqure20260728xex5d1"/>
      <w:bookmarkEnd w:id="4"/>
      <w:bookmarkEnd w:id="5"/>
      <w:r>
        <w:rPr>
          <w:rFonts w:ascii="Times New Roman;Times;serif" w:hAnsi="Times New Roman;Times;serif"/>
          <w:b/>
          <w:sz w:val="22"/>
        </w:rPr>
        <w:t>Exhibit 5.1</w:t>
      </w:r>
      <w:r>
        <w:br w:type="page"/>
      </w:r>
    </w:p>
    <w:tbl>
      <w:tblPr>
        <w:tblW w:w="6617" w:type="dxa"/>
        <w:jc w:val="center"/>
        <w:tblInd w:w="0" w:type="dxa"/>
        <w:tblLayout w:type="fixed"/>
        <w:tblCellMar>
          <w:top w:w="0" w:type="dxa"/>
          <w:left w:w="0" w:type="dxa"/>
          <w:bottom w:w="0" w:type="dxa"/>
          <w:right w:w="0" w:type="dxa"/>
        </w:tblCellMar>
      </w:tblPr>
      <w:tblGrid>
        <w:gridCol w:w="4351"/>
        <w:gridCol w:w="2266"/>
      </w:tblGrid>
      <w:tr>
        <w:trPr/>
        <w:tc>
          <w:tcPr>
            <w:tcW w:w="4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ATTORNEYS • CIVIL LAW NOTARIES • TAX ADVISERS</w:t>
            </w:r>
          </w:p>
        </w:tc>
        <w:tc>
          <w:tcPr>
            <w:tcW w:w="2266" w:type="dxa"/>
            <w:tcBorders/>
            <w:vAlign w:val="center"/>
          </w:tcPr>
          <w:p>
            <w:pPr>
              <w:pStyle w:val="TableContents"/>
              <w:bidi w:val="0"/>
              <w:spacing w:before="0" w:after="0"/>
              <w:ind w:left="0" w:right="0" w:hanging="0"/>
              <w:jc w:val="left"/>
              <w:rPr/>
            </w:pPr>
            <w:r>
              <w:rPr/>
              <w:drawing>
                <wp:inline distT="0" distB="0" distL="0" distR="0">
                  <wp:extent cx="12668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266825" cy="152400"/>
                          </a:xfrm>
                          <a:prstGeom prst="rect">
                            <a:avLst/>
                          </a:prstGeom>
                        </pic:spPr>
                      </pic:pic>
                    </a:graphicData>
                  </a:graphic>
                </wp:inline>
              </w:drawing>
            </w:r>
          </w:p>
        </w:tc>
      </w:tr>
      <w:tr>
        <w:trPr/>
        <w:tc>
          <w:tcPr>
            <w:tcW w:w="4351" w:type="dxa"/>
            <w:tcBorders/>
            <w:vAlign w:val="center"/>
          </w:tcPr>
          <w:p>
            <w:pPr>
              <w:pStyle w:val="TableContents"/>
              <w:bidi w:val="0"/>
              <w:spacing w:before="0" w:after="0"/>
              <w:ind w:left="0" w:right="0" w:hanging="0"/>
              <w:jc w:val="left"/>
              <w:rPr/>
            </w:pPr>
            <w:r>
              <w:rPr/>
              <w:t>​</w:t>
            </w:r>
          </w:p>
        </w:tc>
        <w:tc>
          <w:tcPr>
            <w:tcW w:w="2266" w:type="dxa"/>
            <w:tcBorders/>
            <w:vAlign w:val="center"/>
          </w:tcPr>
          <w:p>
            <w:pPr>
              <w:pStyle w:val="TableContents"/>
              <w:bidi w:val="0"/>
              <w:spacing w:before="0" w:after="0"/>
              <w:ind w:left="0" w:right="0" w:hanging="0"/>
              <w:jc w:val="lef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Beethovenstraat 400</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1082 PR Amsterdam</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+31 20 71 71 000</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Amsterdam, 29 July 2026.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We have acted as legal counsel as to Dutch law to the Company</w:t>
      </w:r>
      <w:r>
        <w:rPr>
          <w:rFonts w:ascii="Times New Roman;Times;serif" w:hAnsi="Times New Roman;Times;serif"/>
          <w:sz w:val="20"/>
        </w:rPr>
        <w:t xml:space="preserve"> </w:t>
      </w:r>
      <w:r>
        <w:rPr>
          <w:rFonts w:ascii="Times New Roman;Times;serif" w:hAnsi="Times New Roman;Times;serif"/>
          <w:sz w:val="22"/>
        </w:rPr>
        <w:t>in connection with the Plan and the filing of the Registration Statement</w:t>
      </w:r>
      <w:r>
        <w:rPr>
          <w:rFonts w:ascii="Times New Roman;Times;serif" w:hAnsi="Times New Roman;Times;serif"/>
          <w:sz w:val="20"/>
        </w:rPr>
        <w:t xml:space="preserve"> </w:t>
      </w:r>
      <w:r>
        <w:rPr>
          <w:rFonts w:ascii="Times New Roman;Times;serif" w:hAnsi="Times New Roman;Times;serif"/>
          <w:sz w:val="22"/>
        </w:rPr>
        <w:t>with the SEC. This opinion letter is rendered to you in order to be filed with the SEC as an exhibit to the Registration Statement.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Capitalised terms used in this opinion letter have the meanings set forth in Exhibit A to this opinion letter. The headings used in this opinion letter are for convenience of reference only and are not to affect its construction or to be taken into consideration in its interpretation.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rendering the opinions expressed in this opinion letter, we have reviewed and relied upon a pdf copy of the Plan, a draft of the Registration Statement and pdf copies of the Corporate Documents and we have assumed that Awards under the Plan shall be made for bona fide commercial reasons. We have not investigated or verified any factual matter disclosed to us in the course of our review.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Plan, the Registration Statement</w:t>
      </w:r>
      <w:r>
        <w:rPr>
          <w:rFonts w:ascii="Times New Roman;Times;serif" w:hAnsi="Times New Roman;Times;serif"/>
          <w:sz w:val="20"/>
        </w:rPr>
        <w:t xml:space="preserve"> </w:t>
      </w:r>
      <w:r>
        <w:rPr>
          <w:rFonts w:ascii="Times New Roman;Times;serif" w:hAnsi="Times New Roman;Times;serif"/>
          <w:sz w:val="22"/>
        </w:rPr>
        <w:t>or the Corporate Documents subsequent to the date of this opinion letter.</w:t>
      </w:r>
    </w:p>
    <w:p>
      <w:pPr>
        <w:pStyle w:val="TextBody"/>
        <w:bidi w:val="0"/>
        <w:spacing w:before="0" w:after="200"/>
        <w:ind w:left="0" w:right="0" w:hanging="0"/>
        <w:jc w:val="both"/>
        <w:rPr>
          <w:rFonts w:ascii="Times New Roman;Times;serif" w:hAnsi="Times New Roman;Times;serif"/>
          <w:sz w:val="22"/>
        </w:rPr>
      </w:pPr>
      <w:r>
        <w:rPr>
          <w:rFonts w:ascii="Times New Roman;Times;serif" w:hAnsi="Times New Roman;Times;serif"/>
          <w:sz w:val="22"/>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946"/>
        <w:gridCol w:w="9259"/>
      </w:tblGrid>
      <w:tr>
        <w:trPr/>
        <w:tc>
          <w:tcPr>
            <w:tcW w:w="946" w:type="dxa"/>
            <w:tcBorders/>
            <w:vAlign w:val="center"/>
          </w:tcPr>
          <w:p>
            <w:pPr>
              <w:pStyle w:val="TableContents"/>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Amsterdam</w:t>
            </w:r>
          </w:p>
          <w:p>
            <w:pPr>
              <w:pStyle w:val="TableContents"/>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Brussels</w:t>
            </w:r>
          </w:p>
          <w:p>
            <w:pPr>
              <w:pStyle w:val="TableContents"/>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London</w:t>
            </w:r>
          </w:p>
          <w:p>
            <w:pPr>
              <w:pStyle w:val="TableContents"/>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Luxemburg</w:t>
            </w:r>
          </w:p>
          <w:p>
            <w:pPr>
              <w:pStyle w:val="TableContents"/>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New York</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Rotterdam</w:t>
            </w:r>
          </w:p>
        </w:tc>
        <w:tc>
          <w:tcPr>
            <w:tcW w:w="9259"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For the purposes of this opinion letter, we have assumed that:</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100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each copy of a document conforms to the original, each original is authentic, and each signature is the genuine signature of the individual purported to have placed that signature;</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1000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Registration Statement shall have been filed with the SEC in the form reviewed by us prior to the first Relevant Moment;</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100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d.</w:t>
            </w:r>
          </w:p>
        </w:tc>
        <w:tc>
          <w:tcPr>
            <w:tcW w:w="1000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shall have been admitted to trading on a regulated market, multilateral trading facility or organised trading facility operating in the European Economic Area (and no request for admission of any such financial instruments to trading on any such trading venue shall have been made);</w:t>
            </w:r>
          </w:p>
        </w:tc>
      </w:tr>
    </w:tbl>
    <w:tbl>
      <w:tblPr>
        <w:tblW w:w="7630" w:type="dxa"/>
        <w:jc w:val="left"/>
        <w:tblInd w:w="0" w:type="dxa"/>
        <w:tblLayout w:type="fixed"/>
        <w:tblCellMar>
          <w:top w:w="0" w:type="dxa"/>
          <w:left w:w="0" w:type="dxa"/>
          <w:bottom w:w="0" w:type="dxa"/>
          <w:right w:w="0" w:type="dxa"/>
        </w:tblCellMar>
      </w:tblPr>
      <w:tblGrid>
        <w:gridCol w:w="185"/>
        <w:gridCol w:w="7445"/>
      </w:tblGrid>
      <w:tr>
        <w:trPr/>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w:t>
            </w:r>
          </w:p>
        </w:tc>
        <w:tc>
          <w:tcPr>
            <w:tcW w:w="74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Deed of Incorporation and the Deed of Conversion are valid notarial deeds;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f.</w:t>
            </w:r>
          </w:p>
        </w:tc>
        <w:tc>
          <w:tcPr>
            <w:tcW w:w="10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the Current Articles are</w:t>
            </w:r>
            <w:r>
              <w:rPr>
                <w:rFonts w:ascii="Times New Roman;Times;serif" w:hAnsi="Times New Roman;Times;serif"/>
                <w:sz w:val="20"/>
              </w:rPr>
              <w:t xml:space="preserve"> </w:t>
            </w:r>
            <w:r>
              <w:rPr>
                <w:rFonts w:ascii="Times New Roman;Times;serif" w:hAnsi="Times New Roman;Times;serif"/>
                <w:sz w:val="22"/>
              </w:rPr>
              <w:t>the Articles of Association currently in force and as they will be in force at each Relevant Moment;</w:t>
            </w:r>
          </w:p>
        </w:tc>
      </w:tr>
    </w:tbl>
    <w:tbl>
      <w:tblPr>
        <w:tblW w:w="6985" w:type="dxa"/>
        <w:jc w:val="left"/>
        <w:tblInd w:w="0" w:type="dxa"/>
        <w:tblLayout w:type="fixed"/>
        <w:tblCellMar>
          <w:top w:w="0" w:type="dxa"/>
          <w:left w:w="0" w:type="dxa"/>
          <w:bottom w:w="0" w:type="dxa"/>
          <w:right w:w="0" w:type="dxa"/>
        </w:tblCellMar>
      </w:tblPr>
      <w:tblGrid>
        <w:gridCol w:w="200"/>
        <w:gridCol w:w="6785"/>
      </w:tblGrid>
      <w:tr>
        <w:trPr/>
        <w:tc>
          <w:tcPr>
            <w:tcW w:w="200"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g.</w:t>
            </w:r>
          </w:p>
        </w:tc>
        <w:tc>
          <w:tcPr>
            <w:tcW w:w="6785"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at each Relevant Moment, the Company will not have (i) been dissolved</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ontbonden</w:t>
      </w:r>
      <w:r>
        <w:rPr>
          <w:rFonts w:ascii="Times New Roman;Times;serif" w:hAnsi="Times New Roman;Times;serif"/>
          <w:sz w:val="22"/>
        </w:rPr>
        <w:t>), (ii) ceased to exist pursuant to a merger (</w:t>
      </w:r>
      <w:r>
        <w:rPr>
          <w:rFonts w:ascii="Times New Roman;Times;serif" w:hAnsi="Times New Roman;Times;serif"/>
          <w:i/>
          <w:sz w:val="22"/>
        </w:rPr>
        <w:t>fusie</w:t>
      </w:r>
      <w:r>
        <w:rPr>
          <w:rFonts w:ascii="Times New Roman;Times;serif" w:hAnsi="Times New Roman;Times;serif"/>
          <w:sz w:val="22"/>
        </w:rPr>
        <w:t>) or a division (</w:t>
      </w:r>
      <w:r>
        <w:rPr>
          <w:rFonts w:ascii="Times New Roman;Times;serif" w:hAnsi="Times New Roman;Times;serif"/>
          <w:i/>
          <w:sz w:val="22"/>
        </w:rPr>
        <w:t>splitsing</w:t>
      </w:r>
      <w:r>
        <w:rPr>
          <w:rFonts w:ascii="Times New Roman;Times;serif" w:hAnsi="Times New Roman;Times;serif"/>
          <w:sz w:val="22"/>
        </w:rPr>
        <w:t>), (iii) been converted (</w:t>
      </w:r>
      <w:r>
        <w:rPr>
          <w:rFonts w:ascii="Times New Roman;Times;serif" w:hAnsi="Times New Roman;Times;serif"/>
          <w:i/>
          <w:sz w:val="22"/>
        </w:rPr>
        <w:t>omgezet</w:t>
      </w:r>
      <w:r>
        <w:rPr>
          <w:rFonts w:ascii="Times New Roman;Times;serif" w:hAnsi="Times New Roman;Times;serif"/>
          <w:sz w:val="22"/>
        </w:rPr>
        <w:t>) into another legal form, either national or foreign (except pursuant to the Deed of Conversion), (iv) had its assets placed under administration (</w:t>
      </w:r>
      <w:r>
        <w:rPr>
          <w:rFonts w:ascii="Times New Roman;Times;serif" w:hAnsi="Times New Roman;Times;serif"/>
          <w:i/>
          <w:sz w:val="22"/>
        </w:rPr>
        <w:t>onder bewind gesteld</w:t>
      </w:r>
      <w:r>
        <w:rPr>
          <w:rFonts w:ascii="Times New Roman;Times;serif" w:hAnsi="Times New Roman;Times;serif"/>
          <w:sz w:val="22"/>
        </w:rPr>
        <w:t>), (v) been declared bankrupt (</w:t>
      </w:r>
      <w:r>
        <w:rPr>
          <w:rFonts w:ascii="Times New Roman;Times;serif" w:hAnsi="Times New Roman;Times;serif"/>
          <w:i/>
          <w:sz w:val="22"/>
        </w:rPr>
        <w:t>failliet verklaard</w:t>
      </w:r>
      <w:r>
        <w:rPr>
          <w:rFonts w:ascii="Times New Roman;Times;serif" w:hAnsi="Times New Roman;Times;serif"/>
          <w:sz w:val="22"/>
        </w:rPr>
        <w:t>), (vi) been granted a suspension of payments (</w:t>
      </w:r>
      <w:r>
        <w:rPr>
          <w:rFonts w:ascii="Times New Roman;Times;serif" w:hAnsi="Times New Roman;Times;serif"/>
          <w:i/>
          <w:sz w:val="22"/>
        </w:rPr>
        <w:t>surseance van betaling verleend</w:t>
      </w:r>
      <w:r>
        <w:rPr>
          <w:rFonts w:ascii="Times New Roman;Times;serif" w:hAnsi="Times New Roman;Times;serif"/>
          <w:sz w:val="22"/>
        </w:rPr>
        <w:t>), (vii) started or become subject to statutory proceedings for the restructuring of its debts (</w:t>
      </w:r>
      <w:r>
        <w:rPr>
          <w:rFonts w:ascii="Times New Roman;Times;serif" w:hAnsi="Times New Roman;Times;serif"/>
          <w:i/>
          <w:sz w:val="22"/>
        </w:rPr>
        <w:t>akkoordprocedure</w:t>
      </w:r>
      <w:r>
        <w:rPr>
          <w:rFonts w:ascii="Times New Roman;Times;serif" w:hAnsi="Times New Roman;Times;serif"/>
          <w:sz w:val="22"/>
        </w:rPr>
        <w:t>) or (viii) been made subject to similar proceedings in any jurisdiction or otherwise been limited in its power to dispose of its assets;</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h.</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at each Relevant Moment, the authorised share capital (</w:t>
            </w:r>
            <w:r>
              <w:rPr>
                <w:rFonts w:ascii="Times New Roman;Times;serif" w:hAnsi="Times New Roman;Times;serif"/>
                <w:i/>
                <w:sz w:val="22"/>
              </w:rPr>
              <w:t>maatschappelijk kapitaal</w:t>
            </w:r>
            <w:r>
              <w:rPr>
                <w:rFonts w:ascii="Times New Roman;Times;serif" w:hAnsi="Times New Roman;Times;serif"/>
                <w:sz w:val="22"/>
              </w:rPr>
              <w:t>) of the Company shall allow for the grant of Awards and the issuance of Plan Shares pursuant to the exercise or settlement thereof;</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w:t>
            </w:r>
          </w:p>
        </w:tc>
        <w:tc>
          <w:tcPr>
            <w:tcW w:w="100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no Awards shall be offered to the public (</w:t>
            </w:r>
            <w:r>
              <w:rPr>
                <w:rFonts w:ascii="Times New Roman;Times;serif" w:hAnsi="Times New Roman;Times;serif"/>
                <w:i/>
                <w:sz w:val="22"/>
              </w:rPr>
              <w:t>aanbieden aan het publiek</w:t>
            </w:r>
            <w:r>
              <w:rPr>
                <w:rFonts w:ascii="Times New Roman;Times;serif" w:hAnsi="Times New Roman;Times;serif"/>
                <w:sz w:val="22"/>
              </w:rPr>
              <w:t>) in the Netherlands other than in conformity with the Prospectus Regulation, the PRIIPs Regulation and the rules promulgated thereunder;</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j.</w:t>
            </w:r>
          </w:p>
        </w:tc>
        <w:tc>
          <w:tcPr>
            <w:tcW w:w="100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at each Relevant Moment, the relevant Award(s) (i) shall have been validly granted as a right to subscribe for Ordinary Shares (</w:t>
            </w:r>
            <w:r>
              <w:rPr>
                <w:rFonts w:ascii="Times New Roman;Times;serif" w:hAnsi="Times New Roman;Times;serif"/>
                <w:i/>
                <w:sz w:val="22"/>
              </w:rPr>
              <w:t>recht tot het nemen van aandelen</w:t>
            </w:r>
            <w:r>
              <w:rPr>
                <w:rFonts w:ascii="Times New Roman;Times;serif" w:hAnsi="Times New Roman;Times;serif"/>
                <w:sz w:val="22"/>
              </w:rPr>
              <w:t>) by the corporate body duly authorised to do so, (ii) shall be in full force and effect upon being exercised or settled, as applicable, (iii) shall have been validly exercised or settled, as applicable, in accordance with the terms and conditions applicable to such Award(s) and (iv) any pre-emption rights in respect of such Award(s) shall have been validly excluded by the corporate body duly authorised to do so;</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k.</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at each Relevant Moment, each holder of the relevant Award(s) shall be an individual who has not (i) deceased, (ii) had such individual's assets placed under administration (</w:t>
            </w:r>
            <w:r>
              <w:rPr>
                <w:rFonts w:ascii="Times New Roman;Times;serif" w:hAnsi="Times New Roman;Times;serif"/>
                <w:i/>
                <w:sz w:val="22"/>
              </w:rPr>
              <w:t>onder bewind gesteld</w:t>
            </w:r>
            <w:r>
              <w:rPr>
                <w:rFonts w:ascii="Times New Roman;Times;serif" w:hAnsi="Times New Roman;Times;serif"/>
                <w:sz w:val="22"/>
              </w:rPr>
              <w:t>), (iii) been declared bankrupt (</w:t>
            </w:r>
            <w:r>
              <w:rPr>
                <w:rFonts w:ascii="Times New Roman;Times;serif" w:hAnsi="Times New Roman;Times;serif"/>
                <w:i/>
                <w:sz w:val="22"/>
              </w:rPr>
              <w:t>failliet verklaard</w:t>
            </w:r>
            <w:r>
              <w:rPr>
                <w:rFonts w:ascii="Times New Roman;Times;serif" w:hAnsi="Times New Roman;Times;serif"/>
                <w:sz w:val="22"/>
              </w:rPr>
              <w:t>), (iv) been granted a suspension of payments (</w:t>
            </w:r>
            <w:r>
              <w:rPr>
                <w:rFonts w:ascii="Times New Roman;Times;serif" w:hAnsi="Times New Roman;Times;serif"/>
                <w:i/>
                <w:sz w:val="22"/>
              </w:rPr>
              <w:t>surseance van betaling verleend</w:t>
            </w:r>
            <w:r>
              <w:rPr>
                <w:rFonts w:ascii="Times New Roman;Times;serif" w:hAnsi="Times New Roman;Times;serif"/>
                <w:sz w:val="22"/>
              </w:rPr>
              <w:t>), (v) been subjected to a debt reorganisation procedure (</w:t>
            </w:r>
            <w:r>
              <w:rPr>
                <w:rFonts w:ascii="Times New Roman;Times;serif" w:hAnsi="Times New Roman;Times;serif"/>
                <w:i/>
                <w:sz w:val="22"/>
              </w:rPr>
              <w:t>schuldsanering</w:t>
            </w:r>
            <w:r>
              <w:rPr>
                <w:rFonts w:ascii="Times New Roman;Times;serif" w:hAnsi="Times New Roman;Times;serif"/>
                <w:sz w:val="22"/>
              </w:rPr>
              <w:t>), (vi) started or become subject to statutory proceedings for the restructuring of such individual's debts (</w:t>
            </w:r>
            <w:r>
              <w:rPr>
                <w:rFonts w:ascii="Times New Roman;Times;serif" w:hAnsi="Times New Roman;Times;serif"/>
                <w:i/>
                <w:sz w:val="22"/>
              </w:rPr>
              <w:t>akkoordprocedure</w:t>
            </w:r>
            <w:r>
              <w:rPr>
                <w:rFonts w:ascii="Times New Roman;Times;serif" w:hAnsi="Times New Roman;Times;serif"/>
                <w:sz w:val="22"/>
              </w:rPr>
              <w:t>) or (vii) been made subject to similar proceedings in any jurisdiction or otherwise been limited in the power to dispose of such individual's assets; and</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l.</w:t>
            </w:r>
          </w:p>
        </w:tc>
        <w:tc>
          <w:tcPr>
            <w:tcW w:w="10065"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at each Relevant Moment, each of the assumptions made in this opinion letter was or will be, as applicable, correct in all aspects by reference to the facts and circumstances then existing.</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Based upon and subject to the foregoing and subject to the qualifications set forth in this opinion letter and to any matters, documents or events not disclosed to us, we express the following opinions:</w:t>
      </w:r>
    </w:p>
    <w:p>
      <w:pPr>
        <w:pStyle w:val="TextBody"/>
        <w:bidi w:val="0"/>
        <w:spacing w:before="0" w:after="240"/>
        <w:ind w:left="709" w:right="0" w:hanging="0"/>
        <w:jc w:val="both"/>
        <w:rPr>
          <w:rFonts w:ascii="Times New Roman;Times;serif" w:hAnsi="Times New Roman;Times;serif"/>
          <w:b/>
          <w:sz w:val="22"/>
        </w:rPr>
      </w:pPr>
      <w:r>
        <w:rPr>
          <w:rFonts w:ascii="Times New Roman;Times;serif" w:hAnsi="Times New Roman;Times;serif"/>
          <w:b/>
          <w:sz w:val="22"/>
        </w:rPr>
        <w:t>Incorporation and Corporate Status</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w:t>
            </w:r>
          </w:p>
        </w:tc>
        <w:tc>
          <w:tcPr>
            <w:tcW w:w="100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The Company has been duly incorporated as a </w:t>
            </w:r>
            <w:r>
              <w:rPr>
                <w:rFonts w:ascii="Times New Roman;Times;serif" w:hAnsi="Times New Roman;Times;serif"/>
                <w:i/>
                <w:sz w:val="22"/>
              </w:rPr>
              <w:t>besloten vennootschap met beperkte aansprakelijkheid</w:t>
            </w:r>
            <w:r>
              <w:rPr>
                <w:rFonts w:ascii="Times New Roman;Times;serif" w:hAnsi="Times New Roman;Times;serif"/>
                <w:sz w:val="20"/>
              </w:rPr>
              <w:t xml:space="preserve"> </w:t>
            </w:r>
            <w:r>
              <w:rPr>
                <w:rFonts w:ascii="Times New Roman;Times;serif" w:hAnsi="Times New Roman;Times;serif"/>
                <w:sz w:val="22"/>
              </w:rPr>
              <w:t xml:space="preserve">and is validly existing as a </w:t>
            </w:r>
            <w:r>
              <w:rPr>
                <w:rFonts w:ascii="Times New Roman;Times;serif" w:hAnsi="Times New Roman;Times;serif"/>
                <w:i/>
                <w:sz w:val="22"/>
              </w:rPr>
              <w:t>naamloze vennootschap</w:t>
            </w:r>
            <w:r>
              <w:rPr>
                <w:rFonts w:ascii="Times New Roman;Times;serif" w:hAnsi="Times New Roman;Times;serif"/>
                <w:sz w:val="22"/>
              </w:rPr>
              <w:t>.</w:t>
            </w:r>
          </w:p>
        </w:tc>
      </w:tr>
    </w:tbl>
    <w:p>
      <w:pPr>
        <w:pStyle w:val="TextBody"/>
        <w:bidi w:val="0"/>
        <w:spacing w:before="0" w:after="240"/>
        <w:ind w:left="709" w:right="0" w:hanging="0"/>
        <w:jc w:val="both"/>
        <w:rPr>
          <w:rFonts w:ascii="Times New Roman;Times;serif" w:hAnsi="Times New Roman;Times;serif"/>
          <w:b/>
          <w:sz w:val="22"/>
        </w:rPr>
      </w:pPr>
      <w:r>
        <w:rPr>
          <w:rFonts w:ascii="Times New Roman;Times;serif" w:hAnsi="Times New Roman;Times;serif"/>
          <w:b/>
          <w:sz w:val="22"/>
        </w:rPr>
        <w:t>Plan Shares</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2.</w:t>
            </w:r>
          </w:p>
        </w:tc>
        <w:tc>
          <w:tcPr>
            <w:tcW w:w="10044"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Subject to receipt by the Company of payment in full for, or other satisfaction of the issue price of, the Plan Shares in accordance with the Plan, and when issued and accepted in accordance with the Plan, the Plan Shares shall be validly issued, fully paid and non-assessable.</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opinions expressed above are subject to the following qualifications: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The opinion expressed in paragraph 1 of this opinion letter must not be read to imply that the Company cannot be dissolved (</w:t>
            </w:r>
            <w:r>
              <w:rPr>
                <w:rFonts w:ascii="Times New Roman;Times;serif" w:hAnsi="Times New Roman;Times;serif"/>
                <w:i/>
                <w:sz w:val="22"/>
              </w:rPr>
              <w:t>ontbonden</w:t>
            </w:r>
            <w:r>
              <w:rPr>
                <w:rFonts w:ascii="Times New Roman;Times;serif" w:hAnsi="Times New Roman;Times;serif"/>
                <w:sz w:val="22"/>
              </w:rPr>
              <w:t>). A company such as the Company may be dissolved, inter alia by the competent court at the request of its board of directors (</w:t>
            </w:r>
            <w:r>
              <w:rPr>
                <w:rFonts w:ascii="Times New Roman;Times;serif" w:hAnsi="Times New Roman;Times;serif"/>
                <w:i/>
                <w:sz w:val="22"/>
              </w:rPr>
              <w:t>bestuur</w:t>
            </w:r>
            <w:r>
              <w:rPr>
                <w:rFonts w:ascii="Times New Roman;Times;serif" w:hAnsi="Times New Roman;Times;serif"/>
                <w:sz w:val="22"/>
              </w:rPr>
              <w:t>), any interested party (</w:t>
            </w:r>
            <w:r>
              <w:rPr>
                <w:rFonts w:ascii="Times New Roman;Times;serif" w:hAnsi="Times New Roman;Times;serif"/>
                <w:i/>
                <w:sz w:val="22"/>
              </w:rPr>
              <w:t>belanghebbende</w:t>
            </w:r>
            <w:r>
              <w:rPr>
                <w:rFonts w:ascii="Times New Roman;Times;serif" w:hAnsi="Times New Roman;Times;serif"/>
                <w:sz w:val="22"/>
              </w:rPr>
              <w:t>) or the public prosecution office in certain circumstances, such as when there are certain defects in the incorporation of the company. Any such dissolution will not have retro-active effect.</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B.</w:t>
            </w:r>
          </w:p>
        </w:tc>
        <w:tc>
          <w:tcPr>
            <w:tcW w:w="99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2"/>
              </w:rPr>
              <w:t>Pursuant to Section 2:7 DCC, any transaction entered into by a legal entity may be nullified by the legal entity itself or its liquidator in bankruptcy proceedings (</w:t>
            </w:r>
            <w:r>
              <w:rPr>
                <w:rFonts w:ascii="Times New Roman;Times;serif" w:hAnsi="Times New Roman;Times;serif"/>
                <w:i/>
                <w:sz w:val="22"/>
              </w:rPr>
              <w:t>curator</w:t>
            </w:r>
            <w:r>
              <w:rPr>
                <w:rFonts w:ascii="Times New Roman;Times;serif" w:hAnsi="Times New Roman;Times;serif"/>
                <w:sz w:val="22"/>
              </w:rPr>
              <w:t>) if the objects of that entity were transgressed by the transaction and the other party to the transaction knew or should have known this without independent investigation (</w:t>
            </w:r>
            <w:r>
              <w:rPr>
                <w:rFonts w:ascii="Times New Roman;Times;serif" w:hAnsi="Times New Roman;Times;serif"/>
                <w:i/>
                <w:sz w:val="22"/>
              </w:rPr>
              <w:t>wist of zonder eigen onderzoek moest weten</w:t>
            </w:r>
            <w:r>
              <w:rPr>
                <w:rFonts w:ascii="Times New Roman;Times;serif" w:hAnsi="Times New Roman;Times;serif"/>
                <w:sz w:val="22"/>
              </w:rPr>
              <w:t>). The Dutch Supreme Court (</w:t>
            </w:r>
            <w:r>
              <w:rPr>
                <w:rFonts w:ascii="Times New Roman;Times;serif" w:hAnsi="Times New Roman;Times;serif"/>
                <w:i/>
                <w:sz w:val="22"/>
              </w:rPr>
              <w:t>Hoge Raad der Nederlanden</w:t>
            </w:r>
            <w:r>
              <w:rPr>
                <w:rFonts w:ascii="Times New Roman;Times;serif" w:hAnsi="Times New Roman;Times;serif"/>
                <w:sz w:val="22"/>
              </w:rPr>
              <w:t>) has ruled that in determining whether the objects of a legal entity are transgressed, not only the description of the objects in that legal entity's articles of association (</w:t>
            </w:r>
            <w:r>
              <w:rPr>
                <w:rFonts w:ascii="Times New Roman;Times;serif" w:hAnsi="Times New Roman;Times;serif"/>
                <w:i/>
                <w:sz w:val="22"/>
              </w:rPr>
              <w:t>statuten</w:t>
            </w:r>
            <w:r>
              <w:rPr>
                <w:rFonts w:ascii="Times New Roman;Times;serif" w:hAnsi="Times New Roman;Times;serif"/>
                <w:sz w:val="22"/>
              </w:rPr>
              <w:t>) is decisive, but all (relevant) circumstances must be taken into account, in particular whether the interests of the legal entity were served by the transaction. Based on the objects clause contained in the Current Articles, we have no reason to believe that, by making Awards under the Plan, the Company would transgress the description of the objects contained in its Articles of Association. However, we cannot assess whether there are other relevant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before="0" w:after="0"/>
        <w:ind w:left="0" w:right="0" w:hanging="0"/>
        <w:jc w:val="center"/>
        <w:rPr/>
      </w:pPr>
      <w:r>
        <w:rPr/>
        <w:t>​</w:t>
      </w:r>
    </w:p>
    <w:p>
      <w:pPr>
        <w:pStyle w:val="TextBody"/>
        <w:bidi w:val="0"/>
        <w:spacing w:before="0" w:after="240"/>
        <w:ind w:left="709" w:right="0" w:hanging="0"/>
        <w:jc w:val="both"/>
        <w:rPr>
          <w:rFonts w:ascii="Times New Roman;Times;serif" w:hAnsi="Times New Roman;Times;serif"/>
          <w:sz w:val="22"/>
        </w:rPr>
      </w:pPr>
      <w:r>
        <w:rPr>
          <w:rFonts w:ascii="Times New Roman;Times;serif" w:hAnsi="Times New Roman;Times;serif"/>
          <w:sz w:val="22"/>
        </w:rPr>
        <w:t>circumstances that must be taken into account, in particular whether the interests of the Company are served by making Awards under the Plan since this is a matter of fact.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9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Pursuant to Section 2:98c DCC, a </w:t>
            </w:r>
            <w:r>
              <w:rPr>
                <w:rFonts w:ascii="Times New Roman;Times;serif" w:hAnsi="Times New Roman;Times;serif"/>
                <w:i/>
                <w:sz w:val="22"/>
              </w:rPr>
              <w:t>naamloze vennootschap</w:t>
            </w:r>
            <w:r>
              <w:rPr>
                <w:rFonts w:ascii="Times New Roman;Times;serif" w:hAnsi="Times New Roman;Times;serif"/>
                <w:sz w:val="20"/>
              </w:rPr>
              <w:t xml:space="preserve"> </w:t>
            </w:r>
            <w:r>
              <w:rPr>
                <w:rFonts w:ascii="Times New Roman;Times;serif" w:hAnsi="Times New Roman;Times;serif"/>
                <w:sz w:val="22"/>
              </w:rPr>
              <w:t>may grant loans (</w:t>
            </w:r>
            <w:r>
              <w:rPr>
                <w:rFonts w:ascii="Times New Roman;Times;serif" w:hAnsi="Times New Roman;Times;serif"/>
                <w:i/>
                <w:sz w:val="22"/>
              </w:rPr>
              <w:t>leningen verstrekken</w:t>
            </w:r>
            <w:r>
              <w:rPr>
                <w:rFonts w:ascii="Times New Roman;Times;serif" w:hAnsi="Times New Roman;Times;serif"/>
                <w:sz w:val="22"/>
              </w:rPr>
              <w:t>) only in accordance with the restrictions set out in Section 2:98c DCC, and may not provide security (</w:t>
            </w:r>
            <w:r>
              <w:rPr>
                <w:rFonts w:ascii="Times New Roman;Times;serif" w:hAnsi="Times New Roman;Times;serif"/>
                <w:i/>
                <w:sz w:val="22"/>
              </w:rPr>
              <w:t>zekerheid stellen</w:t>
            </w:r>
            <w:r>
              <w:rPr>
                <w:rFonts w:ascii="Times New Roman;Times;serif" w:hAnsi="Times New Roman;Times;serif"/>
                <w:sz w:val="22"/>
              </w:rPr>
              <w:t>), give a price guarantee (</w:t>
            </w:r>
            <w:r>
              <w:rPr>
                <w:rFonts w:ascii="Times New Roman;Times;serif" w:hAnsi="Times New Roman;Times;serif"/>
                <w:i/>
                <w:sz w:val="22"/>
              </w:rPr>
              <w:t>koersgarantie geven</w:t>
            </w:r>
            <w:r>
              <w:rPr>
                <w:rFonts w:ascii="Times New Roman;Times;serif" w:hAnsi="Times New Roman;Times;serif"/>
                <w:sz w:val="22"/>
              </w:rPr>
              <w:t>) or otherwise bind itself, whether jointly and severally or otherwise with or for third parties (</w:t>
            </w:r>
            <w:r>
              <w:rPr>
                <w:rFonts w:ascii="Times New Roman;Times;serif" w:hAnsi="Times New Roman;Times;serif"/>
                <w:i/>
                <w:sz w:val="22"/>
              </w:rPr>
              <w:t>zich op andere wijze sterk maken of zich hoofdelijk of anderszins naast of voor anderen verbinden</w:t>
            </w:r>
            <w:r>
              <w:rPr>
                <w:rFonts w:ascii="Times New Roman;Times;serif" w:hAnsi="Times New Roman;Times;serif"/>
                <w:sz w:val="22"/>
              </w:rPr>
              <w:t>) with a view to (</w:t>
            </w:r>
            <w:r>
              <w:rPr>
                <w:rFonts w:ascii="Times New Roman;Times;serif" w:hAnsi="Times New Roman;Times;serif"/>
                <w:i/>
                <w:sz w:val="22"/>
              </w:rPr>
              <w:t>met het oog op</w:t>
            </w:r>
            <w:r>
              <w:rPr>
                <w:rFonts w:ascii="Times New Roman;Times;serif" w:hAnsi="Times New Roman;Times;serif"/>
                <w:sz w:val="22"/>
              </w:rPr>
              <w:t>) the subscription or acquisition by third parties of shares in its share capital or depository receipts. This prohibition also applies to its subsidiaries (</w:t>
            </w:r>
            <w:r>
              <w:rPr>
                <w:rFonts w:ascii="Times New Roman;Times;serif" w:hAnsi="Times New Roman;Times;serif"/>
                <w:i/>
                <w:sz w:val="22"/>
              </w:rPr>
              <w:t>dochtervennootschappen</w:t>
            </w:r>
            <w:r>
              <w:rPr>
                <w:rFonts w:ascii="Times New Roman;Times;serif" w:hAnsi="Times New Roman;Times;serif"/>
                <w:sz w:val="22"/>
              </w:rPr>
              <w:t>). It is generally assumed that a transaction entered into in violation of Section 2:98c DCC is null and void (</w:t>
            </w:r>
            <w:r>
              <w:rPr>
                <w:rFonts w:ascii="Times New Roman;Times;serif" w:hAnsi="Times New Roman;Times;serif"/>
                <w:i/>
                <w:sz w:val="22"/>
              </w:rPr>
              <w:t>nietig</w:t>
            </w:r>
            <w:r>
              <w:rPr>
                <w:rFonts w:ascii="Times New Roman;Times;serif" w:hAnsi="Times New Roman;Times;serif"/>
                <w:sz w:val="22"/>
              </w:rPr>
              <w:t>). Based on the content of the Plan, we have no reason to believe that the Company or its subsidiaries would violate Section 2:98c DCC in connection with the issue of Plan Shares. However, we cannot confirm this definitively, since this is a matter of fact.</w:t>
            </w:r>
          </w:p>
        </w:tc>
      </w:tr>
    </w:tbl>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D.</w:t>
            </w:r>
          </w:p>
        </w:tc>
        <w:tc>
          <w:tcPr>
            <w:tcW w:w="705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opinions expressed in this opinion letter may be limited or affected by: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rules relating to Insolvency Proceedings or similar proceedings under a foreign law and other rules affecting creditors' rights generally;</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the provisions of fraudulent preference and fraudulent conveyance (</w:t>
            </w:r>
            <w:r>
              <w:rPr>
                <w:rFonts w:ascii="Times New Roman;Times;serif" w:hAnsi="Times New Roman;Times;serif"/>
                <w:i/>
                <w:sz w:val="22"/>
              </w:rPr>
              <w:t>Actio Pauliana</w:t>
            </w:r>
            <w:r>
              <w:rPr>
                <w:rFonts w:ascii="Times New Roman;Times;serif" w:hAnsi="Times New Roman;Times;serif"/>
                <w:sz w:val="22"/>
              </w:rPr>
              <w:t>) and similar rights available in other jurisdictions to insolvency practitioners and insolvency office holders in bankruptcy proceedings or creditors;</w:t>
            </w:r>
          </w:p>
        </w:tc>
      </w:tr>
    </w:tbl>
    <w:tbl>
      <w:tblPr>
        <w:tblW w:w="4263" w:type="dxa"/>
        <w:jc w:val="left"/>
        <w:tblInd w:w="0" w:type="dxa"/>
        <w:tblLayout w:type="fixed"/>
        <w:tblCellMar>
          <w:top w:w="0" w:type="dxa"/>
          <w:left w:w="0" w:type="dxa"/>
          <w:bottom w:w="0" w:type="dxa"/>
          <w:right w:w="0" w:type="dxa"/>
        </w:tblCellMar>
      </w:tblPr>
      <w:tblGrid>
        <w:gridCol w:w="23"/>
        <w:gridCol w:w="185"/>
        <w:gridCol w:w="40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40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claims based on tort (</w:t>
            </w:r>
            <w:r>
              <w:rPr>
                <w:rFonts w:ascii="Times New Roman;Times;serif" w:hAnsi="Times New Roman;Times;serif"/>
                <w:i/>
                <w:sz w:val="22"/>
              </w:rPr>
              <w:t>onrechtmatige daad</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sanctions and measures, including but not limited to those concerning export control, pursuant to European Union regulations, under the Dutch Sanctions Act 1977 (</w:t>
            </w:r>
            <w:r>
              <w:rPr>
                <w:rFonts w:ascii="Times New Roman;Times;serif" w:hAnsi="Times New Roman;Times;serif"/>
                <w:i/>
                <w:sz w:val="22"/>
              </w:rPr>
              <w:t>Sanctiewet 1977</w:t>
            </w:r>
            <w:r>
              <w:rPr>
                <w:rFonts w:ascii="Times New Roman;Times;serif" w:hAnsi="Times New Roman;Times;serif"/>
                <w:sz w:val="22"/>
              </w:rPr>
              <w:t>) or other legislation;</w:t>
            </w:r>
          </w:p>
        </w:tc>
      </w:tr>
    </w:tbl>
    <w:tbl>
      <w:tblPr>
        <w:tblW w:w="7968" w:type="dxa"/>
        <w:jc w:val="left"/>
        <w:tblInd w:w="0" w:type="dxa"/>
        <w:tblLayout w:type="fixed"/>
        <w:tblCellMar>
          <w:top w:w="0" w:type="dxa"/>
          <w:left w:w="0" w:type="dxa"/>
          <w:bottom w:w="0" w:type="dxa"/>
          <w:right w:w="0" w:type="dxa"/>
        </w:tblCellMar>
      </w:tblPr>
      <w:tblGrid>
        <w:gridCol w:w="23"/>
        <w:gridCol w:w="185"/>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w:t>
            </w:r>
          </w:p>
        </w:tc>
        <w:tc>
          <w:tcPr>
            <w:tcW w:w="77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the Anti-Boycott Regulation, Anti Money Laundering Laws</w:t>
            </w:r>
            <w:r>
              <w:rPr>
                <w:rFonts w:ascii="Times New Roman;Times;serif" w:hAnsi="Times New Roman;Times;serif"/>
                <w:sz w:val="20"/>
              </w:rPr>
              <w:t xml:space="preserve"> </w:t>
            </w:r>
            <w:r>
              <w:rPr>
                <w:rFonts w:ascii="Times New Roman;Times;serif" w:hAnsi="Times New Roman;Times;serif"/>
                <w:sz w:val="22"/>
              </w:rPr>
              <w:t>and related legislation;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f.</w:t>
            </w:r>
          </w:p>
        </w:tc>
        <w:tc>
          <w:tcPr>
            <w:tcW w:w="10027"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any intervention, recovery or resolution measure by any regulatory or other authority or governmental body in relation to financial enterprises or their affiliated entities; and</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0"/>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g.</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the rules of force majeure (</w:t>
            </w:r>
            <w:r>
              <w:rPr>
                <w:rFonts w:ascii="Times New Roman;Times;serif" w:hAnsi="Times New Roman;Times;serif"/>
                <w:i/>
                <w:sz w:val="22"/>
              </w:rPr>
              <w:t>niet toerekenbare tekortkoming</w:t>
            </w:r>
            <w:r>
              <w:rPr>
                <w:rFonts w:ascii="Times New Roman;Times;serif" w:hAnsi="Times New Roman;Times;serif"/>
                <w:sz w:val="22"/>
              </w:rPr>
              <w:t>), reasonableness and fairness (</w:t>
            </w:r>
            <w:r>
              <w:rPr>
                <w:rFonts w:ascii="Times New Roman;Times;serif" w:hAnsi="Times New Roman;Times;serif"/>
                <w:i/>
                <w:sz w:val="22"/>
              </w:rPr>
              <w:t>redelijkheid en billijkheid</w:t>
            </w:r>
            <w:r>
              <w:rPr>
                <w:rFonts w:ascii="Times New Roman;Times;serif" w:hAnsi="Times New Roman;Times;serif"/>
                <w:sz w:val="22"/>
              </w:rPr>
              <w:t>), suspension (</w:t>
            </w:r>
            <w:r>
              <w:rPr>
                <w:rFonts w:ascii="Times New Roman;Times;serif" w:hAnsi="Times New Roman;Times;serif"/>
                <w:i/>
                <w:sz w:val="22"/>
              </w:rPr>
              <w:t>opschorting</w:t>
            </w:r>
            <w:r>
              <w:rPr>
                <w:rFonts w:ascii="Times New Roman;Times;serif" w:hAnsi="Times New Roman;Times;serif"/>
                <w:sz w:val="22"/>
              </w:rPr>
              <w:t>), dissolution (</w:t>
            </w:r>
            <w:r>
              <w:rPr>
                <w:rFonts w:ascii="Times New Roman;Times;serif" w:hAnsi="Times New Roman;Times;serif"/>
                <w:i/>
                <w:sz w:val="22"/>
              </w:rPr>
              <w:t>ontbinding</w:t>
            </w:r>
            <w:r>
              <w:rPr>
                <w:rFonts w:ascii="Times New Roman;Times;serif" w:hAnsi="Times New Roman;Times;serif"/>
                <w:sz w:val="22"/>
              </w:rPr>
              <w:t>), unforeseen circumstances (</w:t>
            </w:r>
            <w:r>
              <w:rPr>
                <w:rFonts w:ascii="Times New Roman;Times;serif" w:hAnsi="Times New Roman;Times;serif"/>
                <w:i/>
                <w:sz w:val="22"/>
              </w:rPr>
              <w:t>onvoorziene omstandigheden</w:t>
            </w:r>
            <w:r>
              <w:rPr>
                <w:rFonts w:ascii="Times New Roman;Times;serif" w:hAnsi="Times New Roman;Times;serif"/>
                <w:sz w:val="22"/>
              </w:rPr>
              <w:t>) and vitiated consent (i.e., duress (</w:t>
            </w:r>
            <w:r>
              <w:rPr>
                <w:rFonts w:ascii="Times New Roman;Times;serif" w:hAnsi="Times New Roman;Times;serif"/>
                <w:i/>
                <w:sz w:val="22"/>
              </w:rPr>
              <w:t>bedreiging</w:t>
            </w:r>
            <w:r>
              <w:rPr>
                <w:rFonts w:ascii="Times New Roman;Times;serif" w:hAnsi="Times New Roman;Times;serif"/>
                <w:sz w:val="22"/>
              </w:rPr>
              <w:t>), fraud (</w:t>
            </w:r>
            <w:r>
              <w:rPr>
                <w:rFonts w:ascii="Times New Roman;Times;serif" w:hAnsi="Times New Roman;Times;serif"/>
                <w:i/>
                <w:sz w:val="22"/>
              </w:rPr>
              <w:t>bedrog</w:t>
            </w:r>
            <w:r>
              <w:rPr>
                <w:rFonts w:ascii="Times New Roman;Times;serif" w:hAnsi="Times New Roman;Times;serif"/>
                <w:sz w:val="22"/>
              </w:rPr>
              <w:t>), abuse of circumstances (</w:t>
            </w:r>
            <w:r>
              <w:rPr>
                <w:rFonts w:ascii="Times New Roman;Times;serif" w:hAnsi="Times New Roman;Times;serif"/>
                <w:i/>
                <w:sz w:val="22"/>
              </w:rPr>
              <w:t>misbruik van omstandigheden</w:t>
            </w:r>
            <w:r>
              <w:rPr>
                <w:rFonts w:ascii="Times New Roman;Times;serif" w:hAnsi="Times New Roman;Times;serif"/>
                <w:sz w:val="22"/>
              </w:rPr>
              <w:t>) and error (</w:t>
            </w:r>
            <w:r>
              <w:rPr>
                <w:rFonts w:ascii="Times New Roman;Times;serif" w:hAnsi="Times New Roman;Times;serif"/>
                <w:i/>
                <w:sz w:val="22"/>
              </w:rPr>
              <w:t>dwaling</w:t>
            </w:r>
            <w:r>
              <w:rPr>
                <w:rFonts w:ascii="Times New Roman;Times;serif" w:hAnsi="Times New Roman;Times;serif"/>
                <w:sz w:val="22"/>
              </w:rPr>
              <w:t>)) or a difference of intention (</w:t>
            </w:r>
            <w:r>
              <w:rPr>
                <w:rFonts w:ascii="Times New Roman;Times;serif" w:hAnsi="Times New Roman;Times;serif"/>
                <w:i/>
                <w:sz w:val="22"/>
              </w:rPr>
              <w:t>wil</w:t>
            </w:r>
            <w:r>
              <w:rPr>
                <w:rFonts w:ascii="Times New Roman;Times;serif" w:hAnsi="Times New Roman;Times;serif"/>
                <w:sz w:val="22"/>
              </w:rPr>
              <w:t>) and declaration (</w:t>
            </w:r>
            <w:r>
              <w:rPr>
                <w:rFonts w:ascii="Times New Roman;Times;serif" w:hAnsi="Times New Roman;Times;serif"/>
                <w:i/>
                <w:sz w:val="22"/>
              </w:rPr>
              <w:t>verklaring</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w:t>
            </w:r>
          </w:p>
        </w:tc>
        <w:tc>
          <w:tcPr>
            <w:tcW w:w="999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F.</w:t>
            </w:r>
          </w:p>
        </w:tc>
        <w:tc>
          <w:tcPr>
            <w:tcW w:w="1000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This opinion letter does not purport to express any opinion or view on the operational rules and procedures of any clearing or settlement system or agency.</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We consent to the filing of this opinion letter as an exhibit to the Registration Statement. In giving this consent, we do not admit or imply that we are a person whose consent is required under Section 7 of the United States Securities Act of 1933, as amended, or any rules and regulations promulgated thereunder.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Sincerely yours,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 NautaDutilh N.V.</w:t>
      </w:r>
    </w:p>
    <w:p>
      <w:pPr>
        <w:pStyle w:val="TextBody"/>
        <w:bidi w:val="0"/>
        <w:spacing w:before="0" w:after="200"/>
        <w:ind w:left="0" w:right="0" w:hanging="0"/>
        <w:jc w:val="both"/>
        <w:rPr>
          <w:rFonts w:ascii="Times New Roman;Times;serif" w:hAnsi="Times New Roman;Times;serif"/>
          <w:sz w:val="22"/>
        </w:rPr>
      </w:pPr>
      <w:r>
        <w:rPr>
          <w:rFonts w:ascii="Times New Roman;Times;serif" w:hAnsi="Times New Roman;Times;serif"/>
          <w:sz w:val="22"/>
        </w:rPr>
        <w:t>NautaDutilh N.V.</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before="0" w:after="0"/>
        <w:ind w:left="0" w:right="0" w:hanging="0"/>
        <w:jc w:val="center"/>
        <w:rPr/>
      </w:pPr>
      <w:r>
        <w:rPr/>
        <w:t>​</w:t>
      </w:r>
    </w:p>
    <w:p>
      <w:pPr>
        <w:pStyle w:val="TextBody"/>
        <w:pBdr/>
        <w:bidi w:val="0"/>
        <w:spacing w:before="0" w:after="240"/>
        <w:ind w:left="0" w:right="0" w:hanging="706"/>
        <w:jc w:val="left"/>
        <w:rPr>
          <w:rFonts w:ascii="Times New Roman;Times;serif" w:hAnsi="Times New Roman;Times;serif"/>
          <w:b/>
          <w:caps/>
          <w:sz w:val="22"/>
        </w:rPr>
      </w:pPr>
      <w:r>
        <w:rPr>
          <w:rFonts w:ascii="Times New Roman;Times;serif" w:hAnsi="Times New Roman;Times;serif"/>
          <w:b/>
          <w:caps/>
          <w:sz w:val="22"/>
        </w:rPr>
        <w:t>EXHIBIT A</w:t>
      </w:r>
    </w:p>
    <w:p>
      <w:pPr>
        <w:pStyle w:val="TextBody"/>
        <w:pBdr/>
        <w:bidi w:val="0"/>
        <w:spacing w:before="0" w:after="240"/>
        <w:ind w:left="0" w:right="0" w:hanging="706"/>
        <w:jc w:val="left"/>
        <w:rPr>
          <w:rFonts w:ascii="Times New Roman;Times;serif" w:hAnsi="Times New Roman;Times;serif"/>
          <w:b/>
          <w:caps/>
          <w:sz w:val="22"/>
        </w:rPr>
      </w:pPr>
      <w:r>
        <w:rPr>
          <w:rFonts w:ascii="Times New Roman;Times;serif" w:hAnsi="Times New Roman;Times;serif"/>
          <w:b/>
          <w:caps/>
          <w:sz w:val="22"/>
        </w:rPr>
        <w:t>LIST OF DEFINITIONS</w:t>
      </w:r>
    </w:p>
    <w:tbl>
      <w:tblPr>
        <w:tblW w:w="10205" w:type="dxa"/>
        <w:jc w:val="center"/>
        <w:tblInd w:w="0" w:type="dxa"/>
        <w:tblLayout w:type="fixed"/>
        <w:tblCellMar>
          <w:top w:w="0" w:type="dxa"/>
          <w:left w:w="0" w:type="dxa"/>
          <w:bottom w:w="0" w:type="dxa"/>
          <w:right w:w="0" w:type="dxa"/>
        </w:tblCellMar>
      </w:tblPr>
      <w:tblGrid>
        <w:gridCol w:w="1853"/>
        <w:gridCol w:w="346"/>
        <w:gridCol w:w="8006"/>
      </w:tblGrid>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Anti Money Laundering Laws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  ​ ​ ​</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European</w:t>
            </w:r>
            <w:r>
              <w:rPr>
                <w:rFonts w:ascii="Times New Roman;Times;serif" w:hAnsi="Times New Roman;Times;serif"/>
                <w:sz w:val="20"/>
              </w:rPr>
              <w:t xml:space="preserve"> </w:t>
            </w:r>
            <w:r>
              <w:rPr>
                <w:rFonts w:ascii="Times New Roman;Times;serif" w:hAnsi="Times New Roman;Times;serif"/>
                <w:sz w:val="22"/>
              </w:rPr>
              <w:t>Anti-Money Laundering Directives, as implemented in the Netherlands in the Money Laundering and Terrorist Financing Prevention Act (</w:t>
            </w:r>
            <w:r>
              <w:rPr>
                <w:rFonts w:ascii="Times New Roman;Times;serif" w:hAnsi="Times New Roman;Times;serif"/>
                <w:i/>
                <w:sz w:val="22"/>
              </w:rPr>
              <w:t>Wet ter voorkoming van witwassen en financieren van terrorisme</w:t>
            </w:r>
            <w:r>
              <w:rPr>
                <w:rFonts w:ascii="Times New Roman;Times;serif" w:hAnsi="Times New Roman;Times;serif"/>
                <w:sz w:val="22"/>
              </w:rPr>
              <w:t>) and the Dutch Criminal Code (</w:t>
            </w:r>
            <w:r>
              <w:rPr>
                <w:rFonts w:ascii="Times New Roman;Times;serif" w:hAnsi="Times New Roman;Times;serif"/>
                <w:i/>
                <w:sz w:val="22"/>
              </w:rPr>
              <w:t>Wetboek van Strafrecht</w:t>
            </w:r>
            <w:r>
              <w:rPr>
                <w:rFonts w:ascii="Times New Roman;Times;serif" w:hAnsi="Times New Roman;Times;serif"/>
                <w:sz w:val="22"/>
              </w:rPr>
              <w:t>).</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Anti-Boycott Regulation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Regulation (EC) No 2271/96 on protecting against the effects of the extra-territorial application of legislation adopted by a third country, and actions based thereon or resulting therefrom.</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Articles of Association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Company's articles of association (</w:t>
            </w:r>
            <w:r>
              <w:rPr>
                <w:rFonts w:ascii="Times New Roman;Times;serif" w:hAnsi="Times New Roman;Times;serif"/>
                <w:i/>
                <w:sz w:val="22"/>
              </w:rPr>
              <w:t>statuten</w:t>
            </w:r>
            <w:r>
              <w:rPr>
                <w:rFonts w:ascii="Times New Roman;Times;serif" w:hAnsi="Times New Roman;Times;serif"/>
                <w:sz w:val="22"/>
              </w:rPr>
              <w:t>) as they read from time to time.</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Awards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Rights to subscribe for Ordinary Shares</w:t>
            </w:r>
            <w:r>
              <w:rPr>
                <w:rFonts w:ascii="Times New Roman;Times;serif" w:hAnsi="Times New Roman;Times;serif"/>
                <w:sz w:val="20"/>
              </w:rPr>
              <w:t xml:space="preserve"> </w:t>
            </w:r>
            <w:r>
              <w:rPr>
                <w:rFonts w:ascii="Times New Roman;Times;serif" w:hAnsi="Times New Roman;Times;serif"/>
                <w:sz w:val="22"/>
              </w:rPr>
              <w:t>granted pursuant to the terms and conditions of the Plan.</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Bankruptcy Code</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Dutch Bankruptcy Code (</w:t>
            </w:r>
            <w:r>
              <w:rPr>
                <w:rFonts w:ascii="Times New Roman;Times;serif" w:hAnsi="Times New Roman;Times;serif"/>
                <w:i/>
                <w:sz w:val="22"/>
              </w:rPr>
              <w:t>Faillissementswet</w:t>
            </w:r>
            <w:r>
              <w:rPr>
                <w:rFonts w:ascii="Times New Roman;Times;serif" w:hAnsi="Times New Roman;Times;serif"/>
                <w:sz w:val="22"/>
              </w:rPr>
              <w:t>).</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Commercial Register</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Dutch Commercial Register (</w:t>
            </w:r>
            <w:r>
              <w:rPr>
                <w:rFonts w:ascii="Times New Roman;Times;serif" w:hAnsi="Times New Roman;Times;serif"/>
                <w:i/>
                <w:sz w:val="22"/>
              </w:rPr>
              <w:t>handelsregister</w:t>
            </w:r>
            <w:r>
              <w:rPr>
                <w:rFonts w:ascii="Times New Roman;Times;serif" w:hAnsi="Times New Roman;Times;serif"/>
                <w:sz w:val="22"/>
              </w:rPr>
              <w:t>).</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Company</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uniQure N.V., a public company with limited liability (</w:t>
            </w:r>
            <w:r>
              <w:rPr>
                <w:rFonts w:ascii="Times New Roman;Times;serif" w:hAnsi="Times New Roman;Times;serif"/>
                <w:i/>
                <w:sz w:val="22"/>
              </w:rPr>
              <w:t>naamloze vennootschap</w:t>
            </w:r>
            <w:r>
              <w:rPr>
                <w:rFonts w:ascii="Times New Roman;Times;serif" w:hAnsi="Times New Roman;Times;serif"/>
                <w:sz w:val="22"/>
              </w:rPr>
              <w:t>), registered with the Commercial Register under number 54385229.</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Corporate Documents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Deed of Incorporation, the Deed of Conversion and the Current Articles.</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Current Articles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Articles of Association as they read as a consequence of the execution of a deed of amendment to the Articles of Association dated 15 June 2026.</w:t>
            </w:r>
          </w:p>
        </w:tc>
      </w:tr>
      <w:tr>
        <w:trPr/>
        <w:tc>
          <w:tcPr>
            <w:tcW w:w="1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pPr>
            <w:r>
              <w:rPr/>
              <w:t>​</w:t>
            </w:r>
          </w:p>
        </w:tc>
      </w:tr>
      <w:tr>
        <w:trPr/>
        <w:tc>
          <w:tcPr>
            <w:tcW w:w="1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DCC</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Dutch Civil Code (</w:t>
            </w:r>
            <w:r>
              <w:rPr>
                <w:rFonts w:ascii="Times New Roman;Times;serif" w:hAnsi="Times New Roman;Times;serif"/>
                <w:i/>
                <w:sz w:val="22"/>
              </w:rPr>
              <w:t>Burgerlijk Wetboek</w:t>
            </w:r>
            <w:r>
              <w:rPr>
                <w:rFonts w:ascii="Times New Roman;Times;serif" w:hAnsi="Times New Roman;Times;serif"/>
                <w:sz w:val="22"/>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801"/>
        <w:gridCol w:w="346"/>
        <w:gridCol w:w="8058"/>
      </w:tblGrid>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Deed of Conversion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  ​ ​ ​</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deed of conversion and amendment to the Articles of Association dated 10 February 2014.</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Deed of Incorporation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Company's deed of incorporation (</w:t>
            </w:r>
            <w:r>
              <w:rPr>
                <w:rFonts w:ascii="Times New Roman;Times;serif" w:hAnsi="Times New Roman;Times;serif"/>
                <w:i/>
                <w:sz w:val="22"/>
              </w:rPr>
              <w:t>akte van oprichting</w:t>
            </w:r>
            <w:r>
              <w:rPr>
                <w:rFonts w:ascii="Times New Roman;Times;serif" w:hAnsi="Times New Roman;Times;serif"/>
                <w:sz w:val="22"/>
              </w:rPr>
              <w:t>) dated 9 January 2012.</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eIDAS Regulation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Regulation (EU) No 910/2014 on electronic identification and trust services for electronic transactions in the internal market.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Insolvency Proceedings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Any insolvency proceedings within the meaning of Regulation (EU) 2015/848 on insolvency proceedings (recast), listed in Annex A thereto and any statutory proceedings for the restructuring of debts (</w:t>
            </w:r>
            <w:r>
              <w:rPr>
                <w:rFonts w:ascii="Times New Roman;Times;serif" w:hAnsi="Times New Roman;Times;serif"/>
                <w:i/>
                <w:sz w:val="22"/>
              </w:rPr>
              <w:t>akkoordprocedure</w:t>
            </w:r>
            <w:r>
              <w:rPr>
                <w:rFonts w:ascii="Times New Roman;Times;serif" w:hAnsi="Times New Roman;Times;serif"/>
                <w:sz w:val="22"/>
              </w:rPr>
              <w:t>) pursuant to the Bankruptcy Code.</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NautaDutilh</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NautaDutilh N.V.</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the Netherlands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European territory of the Kingdom of the Netherlands and "</w:t>
            </w:r>
            <w:r>
              <w:rPr>
                <w:rFonts w:ascii="Times New Roman;Times;serif" w:hAnsi="Times New Roman;Times;serif"/>
                <w:b/>
                <w:sz w:val="22"/>
              </w:rPr>
              <w:t>Dutch</w:t>
            </w:r>
            <w:r>
              <w:rPr>
                <w:rFonts w:ascii="Times New Roman;Times;serif" w:hAnsi="Times New Roman;Times;serif"/>
                <w:sz w:val="22"/>
              </w:rPr>
              <w:t>" is in or of the Netherlands.</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Ordinary Shares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Ordinary shares in the Company's capital, with a nominal value of EUR 0.05 each.</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Plan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The uniQure N.V. Amended and Restated 2014 Share Incentive Plan</w:t>
            </w:r>
            <w:r>
              <w:rPr>
                <w:rFonts w:ascii="Times New Roman;Times;serif" w:hAnsi="Times New Roman;Times;serif"/>
                <w:sz w:val="20"/>
              </w:rPr>
              <w:t xml:space="preserve"> </w:t>
            </w:r>
            <w:r>
              <w:rPr>
                <w:rFonts w:ascii="Times New Roman;Times;serif" w:hAnsi="Times New Roman;Times;serif"/>
                <w:sz w:val="22"/>
              </w:rPr>
              <w:t>of the Company in the form attached as exhibit 99.1 to the Registration Statement.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Plan Shares</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350,000 Ordinary Shares available for issuance under the Plan.</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PRIIPs Regulation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Regulation (EU) No 1286/2014 on key information documents for packaged retail and insurance-based investment products (PRIIPs).</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Prospectus Regulation</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05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Regulation (EU) 2017/1129 on the prospectus to be published when securities are offered to the public or admitted to trading on a regulated market.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66825"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1266825" cy="152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25"/>
        <w:gridCol w:w="346"/>
        <w:gridCol w:w="7934"/>
      </w:tblGrid>
      <w:tr>
        <w:trPr/>
        <w:tc>
          <w:tcPr>
            <w:tcW w:w="1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Registration Statement</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  ​ ​ ​</w:t>
            </w:r>
          </w:p>
        </w:tc>
        <w:tc>
          <w:tcPr>
            <w:tcW w:w="793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Company's registration statement on Form S-8 to be filed with the SEC in connection with the registration of the Plan Shares, in the form reviewed by us.</w:t>
            </w:r>
          </w:p>
        </w:tc>
      </w:tr>
      <w:tr>
        <w:trPr/>
        <w:tc>
          <w:tcPr>
            <w:tcW w:w="19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34" w:type="dxa"/>
            <w:tcBorders/>
            <w:vAlign w:val="center"/>
          </w:tcPr>
          <w:p>
            <w:pPr>
              <w:pStyle w:val="TableContents"/>
              <w:bidi w:val="0"/>
              <w:spacing w:before="0" w:after="0"/>
              <w:ind w:left="0" w:right="0" w:hanging="0"/>
              <w:jc w:val="both"/>
              <w:rPr/>
            </w:pPr>
            <w:r>
              <w:rPr/>
              <w:t>​</w:t>
            </w:r>
          </w:p>
        </w:tc>
      </w:tr>
      <w:tr>
        <w:trPr/>
        <w:tc>
          <w:tcPr>
            <w:tcW w:w="1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Relevant Moment</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793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Each time when one or more Awards are granted or one or more Plan Shares are issued pursuant to the exercise or settlement of the relevant Award(s).</w:t>
            </w:r>
          </w:p>
        </w:tc>
      </w:tr>
      <w:tr>
        <w:trPr/>
        <w:tc>
          <w:tcPr>
            <w:tcW w:w="19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34" w:type="dxa"/>
            <w:tcBorders/>
            <w:vAlign w:val="center"/>
          </w:tcPr>
          <w:p>
            <w:pPr>
              <w:pStyle w:val="TableContents"/>
              <w:bidi w:val="0"/>
              <w:spacing w:before="0" w:after="0"/>
              <w:ind w:left="0" w:right="0" w:hanging="0"/>
              <w:jc w:val="both"/>
              <w:rPr/>
            </w:pPr>
            <w:r>
              <w:rPr/>
              <w:t>​</w:t>
            </w:r>
          </w:p>
        </w:tc>
      </w:tr>
      <w:tr>
        <w:trPr/>
        <w:tc>
          <w:tcPr>
            <w:tcW w:w="1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SEC</w:t>
            </w: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793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United States Securities and Exchange Commission.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6" w:name="qure-20260728xex23d2.htm"/>
      <w:bookmarkStart w:id="7" w:name="ksqure20260728xex23d2"/>
      <w:bookmarkEnd w:id="6"/>
      <w:bookmarkEnd w:id="7"/>
      <w:r>
        <w:rPr>
          <w:rFonts w:ascii="Arial;Helvetica;sans-serif" w:hAnsi="Arial;Helvetica;sans-serif"/>
          <w:b/>
          <w:sz w:val="22"/>
        </w:rPr>
        <w:t>Exhibit 23.2</w:t>
      </w:r>
      <w:r>
        <w:br w:type="page"/>
      </w:r>
    </w:p>
    <w:p>
      <w:pPr>
        <w:pStyle w:val="TextBody"/>
        <w:bidi w:val="0"/>
        <w:spacing w:before="0" w:after="0"/>
        <w:ind w:left="0" w:right="0" w:hanging="0"/>
        <w:jc w:val="left"/>
        <w:rPr/>
      </w:pPr>
      <w:r>
        <w:rPr/>
        <w:t>​</w:t>
      </w:r>
    </w:p>
    <w:p>
      <w:pPr>
        <w:pStyle w:val="TextBody"/>
        <w:bidi w:val="0"/>
        <w:spacing w:before="1" w:after="0"/>
        <w:ind w:left="67" w:right="0" w:hanging="0"/>
        <w:jc w:val="center"/>
        <w:rPr>
          <w:rFonts w:ascii="Arial;Helvetica;sans-serif" w:hAnsi="Arial;Helvetica;sans-serif"/>
          <w:b/>
          <w:sz w:val="19"/>
        </w:rPr>
      </w:pPr>
      <w:r>
        <w:rPr>
          <w:rFonts w:ascii="Arial;Helvetica;sans-serif" w:hAnsi="Arial;Helvetica;sans-serif"/>
          <w:b/>
          <w:sz w:val="24"/>
        </w:rPr>
        <w:t>Consent</w:t>
      </w:r>
      <w:r>
        <w:rPr>
          <w:rFonts w:ascii="Arial;Helvetica;sans-serif" w:hAnsi="Arial;Helvetica;sans-serif"/>
          <w:b/>
          <w:spacing w:val="10"/>
          <w:sz w:val="19"/>
        </w:rPr>
        <w:t xml:space="preserve"> </w:t>
      </w:r>
      <w:r>
        <w:rPr>
          <w:rFonts w:ascii="Arial;Helvetica;sans-serif" w:hAnsi="Arial;Helvetica;sans-serif"/>
          <w:b/>
          <w:sz w:val="24"/>
        </w:rPr>
        <w:t>of</w:t>
      </w:r>
      <w:r>
        <w:rPr>
          <w:rFonts w:ascii="Arial;Helvetica;sans-serif" w:hAnsi="Arial;Helvetica;sans-serif"/>
          <w:b/>
          <w:spacing w:val="11"/>
          <w:sz w:val="19"/>
        </w:rPr>
        <w:t xml:space="preserve"> </w:t>
      </w:r>
      <w:r>
        <w:rPr>
          <w:rFonts w:ascii="Arial;Helvetica;sans-serif" w:hAnsi="Arial;Helvetica;sans-serif"/>
          <w:b/>
          <w:sz w:val="24"/>
        </w:rPr>
        <w:t>Independent</w:t>
      </w:r>
      <w:r>
        <w:rPr>
          <w:rFonts w:ascii="Arial;Helvetica;sans-serif" w:hAnsi="Arial;Helvetica;sans-serif"/>
          <w:b/>
          <w:spacing w:val="11"/>
          <w:sz w:val="19"/>
        </w:rPr>
        <w:t xml:space="preserve"> </w:t>
      </w:r>
      <w:r>
        <w:rPr>
          <w:rFonts w:ascii="Arial;Helvetica;sans-serif" w:hAnsi="Arial;Helvetica;sans-serif"/>
          <w:b/>
          <w:sz w:val="24"/>
        </w:rPr>
        <w:t>Registered</w:t>
      </w:r>
      <w:r>
        <w:rPr>
          <w:rFonts w:ascii="Arial;Helvetica;sans-serif" w:hAnsi="Arial;Helvetica;sans-serif"/>
          <w:b/>
          <w:spacing w:val="11"/>
          <w:sz w:val="19"/>
        </w:rPr>
        <w:t xml:space="preserve"> </w:t>
      </w:r>
      <w:r>
        <w:rPr>
          <w:rFonts w:ascii="Arial;Helvetica;sans-serif" w:hAnsi="Arial;Helvetica;sans-serif"/>
          <w:b/>
          <w:sz w:val="24"/>
        </w:rPr>
        <w:t>Public</w:t>
      </w:r>
      <w:r>
        <w:rPr>
          <w:rFonts w:ascii="Arial;Helvetica;sans-serif" w:hAnsi="Arial;Helvetica;sans-serif"/>
          <w:b/>
          <w:spacing w:val="9"/>
          <w:sz w:val="19"/>
        </w:rPr>
        <w:t xml:space="preserve"> </w:t>
      </w:r>
      <w:r>
        <w:rPr>
          <w:rFonts w:ascii="Arial;Helvetica;sans-serif" w:hAnsi="Arial;Helvetica;sans-serif"/>
          <w:b/>
          <w:sz w:val="24"/>
        </w:rPr>
        <w:t>Accounting</w:t>
      </w:r>
      <w:r>
        <w:rPr>
          <w:rFonts w:ascii="Arial;Helvetica;sans-serif" w:hAnsi="Arial;Helvetica;sans-serif"/>
          <w:b/>
          <w:spacing w:val="11"/>
          <w:sz w:val="19"/>
        </w:rPr>
        <w:t xml:space="preserve"> </w:t>
      </w:r>
      <w:r>
        <w:rPr>
          <w:rFonts w:ascii="Arial;Helvetica;sans-serif" w:hAnsi="Arial;Helvetica;sans-serif"/>
          <w:b/>
          <w:spacing w:val="-4"/>
          <w:sz w:val="24"/>
        </w:rPr>
        <w:t>Firm</w:t>
      </w:r>
    </w:p>
    <w:p>
      <w:pPr>
        <w:pStyle w:val="TextBody"/>
        <w:bidi w:val="0"/>
        <w:spacing w:before="184" w:after="0"/>
        <w:ind w:left="0" w:right="0" w:hanging="0"/>
        <w:jc w:val="left"/>
        <w:rPr/>
      </w:pPr>
      <w:r>
        <w:rPr/>
        <w:t>​</w:t>
      </w:r>
    </w:p>
    <w:p>
      <w:pPr>
        <w:pStyle w:val="TextBody"/>
        <w:bidi w:val="0"/>
        <w:spacing w:lineRule="auto" w:line="304" w:before="0" w:after="0"/>
        <w:ind w:left="127" w:right="58" w:hanging="0"/>
        <w:jc w:val="both"/>
        <w:rPr>
          <w:rFonts w:ascii="Arial;Helvetica;sans-serif" w:hAnsi="Arial;Helvetica;sans-serif"/>
          <w:sz w:val="19"/>
        </w:rPr>
      </w:pPr>
      <w:r>
        <w:rPr>
          <w:rFonts w:ascii="Arial;Helvetica;sans-serif" w:hAnsi="Arial;Helvetica;sans-serif"/>
          <w:sz w:val="24"/>
        </w:rPr>
        <w:t>We</w:t>
      </w:r>
      <w:r>
        <w:rPr>
          <w:rFonts w:ascii="Arial;Helvetica;sans-serif" w:hAnsi="Arial;Helvetica;sans-serif"/>
          <w:spacing w:val="14"/>
          <w:sz w:val="19"/>
        </w:rPr>
        <w:t xml:space="preserve"> </w:t>
      </w:r>
      <w:r>
        <w:rPr>
          <w:rFonts w:ascii="Arial;Helvetica;sans-serif" w:hAnsi="Arial;Helvetica;sans-serif"/>
          <w:sz w:val="24"/>
        </w:rPr>
        <w:t>consent</w:t>
      </w:r>
      <w:r>
        <w:rPr>
          <w:rFonts w:ascii="Arial;Helvetica;sans-serif" w:hAnsi="Arial;Helvetica;sans-serif"/>
          <w:spacing w:val="16"/>
          <w:sz w:val="19"/>
        </w:rPr>
        <w:t xml:space="preserve"> </w:t>
      </w:r>
      <w:r>
        <w:rPr>
          <w:rFonts w:ascii="Arial;Helvetica;sans-serif" w:hAnsi="Arial;Helvetica;sans-serif"/>
          <w:sz w:val="24"/>
        </w:rPr>
        <w:t>to</w:t>
      </w:r>
      <w:r>
        <w:rPr>
          <w:rFonts w:ascii="Arial;Helvetica;sans-serif" w:hAnsi="Arial;Helvetica;sans-serif"/>
          <w:spacing w:val="16"/>
          <w:sz w:val="19"/>
        </w:rPr>
        <w:t xml:space="preserve"> </w:t>
      </w:r>
      <w:r>
        <w:rPr>
          <w:rFonts w:ascii="Arial;Helvetica;sans-serif" w:hAnsi="Arial;Helvetica;sans-serif"/>
          <w:sz w:val="24"/>
        </w:rPr>
        <w:t>the</w:t>
      </w:r>
      <w:r>
        <w:rPr>
          <w:rFonts w:ascii="Arial;Helvetica;sans-serif" w:hAnsi="Arial;Helvetica;sans-serif"/>
          <w:spacing w:val="16"/>
          <w:sz w:val="19"/>
        </w:rPr>
        <w:t xml:space="preserve"> </w:t>
      </w:r>
      <w:r>
        <w:rPr>
          <w:rFonts w:ascii="Arial;Helvetica;sans-serif" w:hAnsi="Arial;Helvetica;sans-serif"/>
          <w:sz w:val="24"/>
        </w:rPr>
        <w:t>use</w:t>
      </w:r>
      <w:r>
        <w:rPr>
          <w:rFonts w:ascii="Arial;Helvetica;sans-serif" w:hAnsi="Arial;Helvetica;sans-serif"/>
          <w:spacing w:val="16"/>
          <w:sz w:val="19"/>
        </w:rPr>
        <w:t xml:space="preserve"> </w:t>
      </w:r>
      <w:r>
        <w:rPr>
          <w:rFonts w:ascii="Arial;Helvetica;sans-serif" w:hAnsi="Arial;Helvetica;sans-serif"/>
          <w:sz w:val="24"/>
        </w:rPr>
        <w:t>of</w:t>
      </w:r>
      <w:r>
        <w:rPr>
          <w:rFonts w:ascii="Arial;Helvetica;sans-serif" w:hAnsi="Arial;Helvetica;sans-serif"/>
          <w:spacing w:val="14"/>
          <w:sz w:val="19"/>
        </w:rPr>
        <w:t xml:space="preserve"> </w:t>
      </w:r>
      <w:r>
        <w:rPr>
          <w:rFonts w:ascii="Arial;Helvetica;sans-serif" w:hAnsi="Arial;Helvetica;sans-serif"/>
          <w:sz w:val="24"/>
        </w:rPr>
        <w:t>our</w:t>
      </w:r>
      <w:r>
        <w:rPr>
          <w:rFonts w:ascii="Arial;Helvetica;sans-serif" w:hAnsi="Arial;Helvetica;sans-serif"/>
          <w:spacing w:val="17"/>
          <w:sz w:val="19"/>
        </w:rPr>
        <w:t xml:space="preserve"> </w:t>
      </w:r>
      <w:r>
        <w:rPr>
          <w:rFonts w:ascii="Arial;Helvetica;sans-serif" w:hAnsi="Arial;Helvetica;sans-serif"/>
          <w:sz w:val="24"/>
        </w:rPr>
        <w:t>report</w:t>
      </w:r>
      <w:r>
        <w:rPr>
          <w:rFonts w:ascii="Arial;Helvetica;sans-serif" w:hAnsi="Arial;Helvetica;sans-serif"/>
          <w:spacing w:val="14"/>
          <w:sz w:val="19"/>
        </w:rPr>
        <w:t xml:space="preserve"> </w:t>
      </w:r>
      <w:r>
        <w:rPr>
          <w:rFonts w:ascii="Arial;Helvetica;sans-serif" w:hAnsi="Arial;Helvetica;sans-serif"/>
          <w:sz w:val="24"/>
        </w:rPr>
        <w:t>dated</w:t>
      </w:r>
      <w:r>
        <w:rPr>
          <w:rFonts w:ascii="Arial;Helvetica;sans-serif" w:hAnsi="Arial;Helvetica;sans-serif"/>
          <w:spacing w:val="16"/>
          <w:sz w:val="19"/>
        </w:rPr>
        <w:t xml:space="preserve"> </w:t>
      </w:r>
      <w:r>
        <w:rPr>
          <w:rFonts w:ascii="Arial;Helvetica;sans-serif" w:hAnsi="Arial;Helvetica;sans-serif"/>
          <w:sz w:val="24"/>
        </w:rPr>
        <w:t>March</w:t>
      </w:r>
      <w:r>
        <w:rPr>
          <w:rFonts w:ascii="Arial;Helvetica;sans-serif" w:hAnsi="Arial;Helvetica;sans-serif"/>
          <w:spacing w:val="16"/>
          <w:sz w:val="19"/>
        </w:rPr>
        <w:t xml:space="preserve"> </w:t>
      </w:r>
      <w:r>
        <w:rPr>
          <w:rFonts w:ascii="Arial;Helvetica;sans-serif" w:hAnsi="Arial;Helvetica;sans-serif"/>
          <w:sz w:val="24"/>
        </w:rPr>
        <w:t>2,</w:t>
      </w:r>
      <w:r>
        <w:rPr>
          <w:rFonts w:ascii="Arial;Helvetica;sans-serif" w:hAnsi="Arial;Helvetica;sans-serif"/>
          <w:spacing w:val="14"/>
          <w:sz w:val="19"/>
        </w:rPr>
        <w:t xml:space="preserve"> </w:t>
      </w:r>
      <w:r>
        <w:rPr>
          <w:rFonts w:ascii="Arial;Helvetica;sans-serif" w:hAnsi="Arial;Helvetica;sans-serif"/>
          <w:sz w:val="24"/>
        </w:rPr>
        <w:t>2026,</w:t>
      </w:r>
      <w:r>
        <w:rPr>
          <w:rFonts w:ascii="Arial;Helvetica;sans-serif" w:hAnsi="Arial;Helvetica;sans-serif"/>
          <w:spacing w:val="14"/>
          <w:sz w:val="19"/>
        </w:rPr>
        <w:t xml:space="preserve"> </w:t>
      </w:r>
      <w:r>
        <w:rPr>
          <w:rFonts w:ascii="Arial;Helvetica;sans-serif" w:hAnsi="Arial;Helvetica;sans-serif"/>
          <w:sz w:val="24"/>
        </w:rPr>
        <w:t>with</w:t>
      </w:r>
      <w:r>
        <w:rPr>
          <w:rFonts w:ascii="Arial;Helvetica;sans-serif" w:hAnsi="Arial;Helvetica;sans-serif"/>
          <w:spacing w:val="18"/>
          <w:sz w:val="19"/>
        </w:rPr>
        <w:t xml:space="preserve"> </w:t>
      </w:r>
      <w:r>
        <w:rPr>
          <w:rFonts w:ascii="Arial;Helvetica;sans-serif" w:hAnsi="Arial;Helvetica;sans-serif"/>
          <w:sz w:val="24"/>
        </w:rPr>
        <w:t>respect</w:t>
      </w:r>
      <w:r>
        <w:rPr>
          <w:rFonts w:ascii="Arial;Helvetica;sans-serif" w:hAnsi="Arial;Helvetica;sans-serif"/>
          <w:spacing w:val="16"/>
          <w:sz w:val="19"/>
        </w:rPr>
        <w:t xml:space="preserve"> </w:t>
      </w:r>
      <w:r>
        <w:rPr>
          <w:rFonts w:ascii="Arial;Helvetica;sans-serif" w:hAnsi="Arial;Helvetica;sans-serif"/>
          <w:sz w:val="24"/>
        </w:rPr>
        <w:t>to</w:t>
      </w:r>
      <w:r>
        <w:rPr>
          <w:rFonts w:ascii="Arial;Helvetica;sans-serif" w:hAnsi="Arial;Helvetica;sans-serif"/>
          <w:spacing w:val="16"/>
          <w:sz w:val="19"/>
        </w:rPr>
        <w:t xml:space="preserve"> </w:t>
      </w:r>
      <w:r>
        <w:rPr>
          <w:rFonts w:ascii="Arial;Helvetica;sans-serif" w:hAnsi="Arial;Helvetica;sans-serif"/>
          <w:sz w:val="24"/>
        </w:rPr>
        <w:t>the</w:t>
      </w:r>
      <w:r>
        <w:rPr>
          <w:rFonts w:ascii="Arial;Helvetica;sans-serif" w:hAnsi="Arial;Helvetica;sans-serif"/>
          <w:spacing w:val="16"/>
          <w:sz w:val="19"/>
        </w:rPr>
        <w:t xml:space="preserve"> </w:t>
      </w:r>
      <w:r>
        <w:rPr>
          <w:rFonts w:ascii="Arial;Helvetica;sans-serif" w:hAnsi="Arial;Helvetica;sans-serif"/>
          <w:sz w:val="24"/>
        </w:rPr>
        <w:t>consolidated</w:t>
      </w:r>
      <w:r>
        <w:rPr>
          <w:rFonts w:ascii="Arial;Helvetica;sans-serif" w:hAnsi="Arial;Helvetica;sans-serif"/>
          <w:spacing w:val="16"/>
          <w:sz w:val="19"/>
        </w:rPr>
        <w:t xml:space="preserve"> </w:t>
      </w:r>
      <w:r>
        <w:rPr>
          <w:rFonts w:ascii="Arial;Helvetica;sans-serif" w:hAnsi="Arial;Helvetica;sans-serif"/>
          <w:sz w:val="24"/>
        </w:rPr>
        <w:t>financial</w:t>
      </w:r>
      <w:r>
        <w:rPr>
          <w:rFonts w:ascii="Arial;Helvetica;sans-serif" w:hAnsi="Arial;Helvetica;sans-serif"/>
          <w:spacing w:val="16"/>
          <w:sz w:val="19"/>
        </w:rPr>
        <w:t xml:space="preserve"> </w:t>
      </w:r>
      <w:r>
        <w:rPr>
          <w:rFonts w:ascii="Arial;Helvetica;sans-serif" w:hAnsi="Arial;Helvetica;sans-serif"/>
          <w:sz w:val="24"/>
        </w:rPr>
        <w:t>statements of uniQure N.V., and the effectiveness of internal control over financial reporting, incorporated herein by</w:t>
      </w:r>
      <w:r>
        <w:rPr>
          <w:rFonts w:ascii="Arial;Helvetica;sans-serif" w:hAnsi="Arial;Helvetica;sans-serif"/>
          <w:spacing w:val="80"/>
          <w:sz w:val="19"/>
        </w:rPr>
        <w:t xml:space="preserve"> </w:t>
      </w:r>
      <w:r>
        <w:rPr>
          <w:rFonts w:ascii="Arial;Helvetica;sans-serif" w:hAnsi="Arial;Helvetica;sans-serif"/>
          <w:spacing w:val="-2"/>
          <w:sz w:val="24"/>
        </w:rPr>
        <w:t>reference.</w:t>
      </w:r>
    </w:p>
    <w:p>
      <w:pPr>
        <w:pStyle w:val="TextBody"/>
        <w:bidi w:val="0"/>
        <w:spacing w:before="185" w:after="0"/>
        <w:ind w:left="0" w:right="0" w:hanging="0"/>
        <w:jc w:val="left"/>
        <w:rPr/>
      </w:pPr>
      <w:r>
        <w:rPr/>
        <w:t>​</w:t>
      </w:r>
    </w:p>
    <w:p>
      <w:pPr>
        <w:pStyle w:val="TextBody"/>
        <w:bidi w:val="0"/>
        <w:spacing w:before="0" w:after="0"/>
        <w:ind w:left="127" w:right="0" w:hanging="0"/>
        <w:jc w:val="both"/>
        <w:rPr>
          <w:rFonts w:ascii="Arial;Helvetica;sans-serif" w:hAnsi="Arial;Helvetica;sans-serif"/>
          <w:sz w:val="19"/>
        </w:rPr>
      </w:pPr>
      <w:r>
        <w:rPr>
          <w:rFonts w:ascii="Arial;Helvetica;sans-serif" w:hAnsi="Arial;Helvetica;sans-serif"/>
          <w:sz w:val="24"/>
        </w:rPr>
        <w:t>/s/</w:t>
      </w:r>
      <w:r>
        <w:rPr>
          <w:rFonts w:ascii="Arial;Helvetica;sans-serif" w:hAnsi="Arial;Helvetica;sans-serif"/>
          <w:spacing w:val="7"/>
          <w:sz w:val="19"/>
        </w:rPr>
        <w:t xml:space="preserve"> </w:t>
      </w:r>
      <w:r>
        <w:rPr>
          <w:rFonts w:ascii="Arial;Helvetica;sans-serif" w:hAnsi="Arial;Helvetica;sans-serif"/>
          <w:sz w:val="24"/>
        </w:rPr>
        <w:t>KPMG</w:t>
      </w:r>
      <w:r>
        <w:rPr>
          <w:rFonts w:ascii="Arial;Helvetica;sans-serif" w:hAnsi="Arial;Helvetica;sans-serif"/>
          <w:spacing w:val="8"/>
          <w:sz w:val="19"/>
        </w:rPr>
        <w:t xml:space="preserve"> </w:t>
      </w:r>
      <w:r>
        <w:rPr>
          <w:rFonts w:ascii="Arial;Helvetica;sans-serif" w:hAnsi="Arial;Helvetica;sans-serif"/>
          <w:sz w:val="24"/>
        </w:rPr>
        <w:t>Accountants</w:t>
      </w:r>
      <w:r>
        <w:rPr>
          <w:rFonts w:ascii="Arial;Helvetica;sans-serif" w:hAnsi="Arial;Helvetica;sans-serif"/>
          <w:spacing w:val="8"/>
          <w:sz w:val="19"/>
        </w:rPr>
        <w:t xml:space="preserve"> </w:t>
      </w:r>
      <w:r>
        <w:rPr>
          <w:rFonts w:ascii="Arial;Helvetica;sans-serif" w:hAnsi="Arial;Helvetica;sans-serif"/>
          <w:spacing w:val="-4"/>
          <w:sz w:val="24"/>
        </w:rPr>
        <w:t>N.V.</w:t>
      </w:r>
    </w:p>
    <w:p>
      <w:pPr>
        <w:pStyle w:val="TextBody"/>
        <w:bidi w:val="0"/>
        <w:spacing w:before="200" w:after="0"/>
        <w:ind w:left="0" w:right="0" w:hanging="0"/>
        <w:jc w:val="left"/>
        <w:rPr/>
      </w:pPr>
      <w:r>
        <w:rPr/>
        <w:t>​</w:t>
      </w:r>
    </w:p>
    <w:p>
      <w:pPr>
        <w:pStyle w:val="TextBody"/>
        <w:bidi w:val="0"/>
        <w:spacing w:lineRule="auto" w:line="304" w:before="1" w:after="0"/>
        <w:ind w:left="127" w:right="4925" w:hanging="0"/>
        <w:jc w:val="left"/>
        <w:rPr>
          <w:rFonts w:ascii="Arial;Helvetica;sans-serif" w:hAnsi="Arial;Helvetica;sans-serif"/>
          <w:sz w:val="24"/>
        </w:rPr>
      </w:pPr>
      <w:r>
        <w:rPr>
          <w:rFonts w:ascii="Arial;Helvetica;sans-serif" w:hAnsi="Arial;Helvetica;sans-serif"/>
          <w:sz w:val="24"/>
        </w:rPr>
        <w:t xml:space="preserve">Amstelveen, The Netherlands </w:t>
      </w:r>
    </w:p>
    <w:p>
      <w:pPr>
        <w:pStyle w:val="TextBody"/>
        <w:bidi w:val="0"/>
        <w:spacing w:lineRule="auto" w:line="304" w:before="1" w:after="0"/>
        <w:ind w:left="127" w:right="4925" w:hanging="0"/>
        <w:jc w:val="left"/>
        <w:rPr>
          <w:rFonts w:ascii="Arial;Helvetica;sans-serif" w:hAnsi="Arial;Helvetica;sans-serif"/>
          <w:sz w:val="24"/>
        </w:rPr>
      </w:pPr>
      <w:r>
        <w:rPr>
          <w:rFonts w:ascii="Arial;Helvetica;sans-serif" w:hAnsi="Arial;Helvetica;sans-serif"/>
          <w:sz w:val="24"/>
        </w:rPr>
        <w:t>July 29,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8" w:name="qure-20260728xexfees.htm"/>
      <w:bookmarkStart w:id="9" w:name="ksqure20260728xexfees"/>
      <w:bookmarkStart w:id="10" w:name="qure-20260728xexfees.htm"/>
      <w:bookmarkStart w:id="11" w:name="ksqure20260728xexfees"/>
      <w:bookmarkEnd w:id="10"/>
      <w:bookmarkEnd w:id="11"/>
      <w:r>
        <w:br w:type="page"/>
      </w:r>
    </w:p>
    <w:tbl>
      <w:tblPr>
        <w:tblW w:w="3555" w:type="dxa"/>
        <w:jc w:val="left"/>
        <w:tblInd w:w="0" w:type="dxa"/>
        <w:tblLayout w:type="fixed"/>
        <w:tblCellMar>
          <w:top w:w="28" w:type="dxa"/>
          <w:left w:w="28" w:type="dxa"/>
          <w:bottom w:w="28" w:type="dxa"/>
          <w:right w:w="28" w:type="dxa"/>
        </w:tblCellMar>
      </w:tblPr>
      <w:tblGrid>
        <w:gridCol w:w="3401"/>
        <w:gridCol w:w="154"/>
      </w:tblGrid>
      <w:tr>
        <w:trPr/>
        <w:tc>
          <w:tcPr>
            <w:tcW w:w="355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1" w:type="dxa"/>
            <w:tcBorders/>
            <w:vAlign w:val="center"/>
          </w:tcPr>
          <w:p>
            <w:pPr>
              <w:pStyle w:val="TableContents"/>
              <w:bidi w:val="0"/>
              <w:spacing w:before="0" w:after="283"/>
              <w:jc w:val="left"/>
              <w:rPr>
                <w:b/>
              </w:rPr>
            </w:pPr>
            <w:r>
              <w:rPr>
                <w:b/>
              </w:rPr>
              <w:t xml:space="preserve">uniQure N.V.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28"/>
        <w:gridCol w:w="1294"/>
        <w:gridCol w:w="1203"/>
        <w:gridCol w:w="1220"/>
        <w:gridCol w:w="1705"/>
        <w:gridCol w:w="112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28" w:type="dxa"/>
            <w:tcBorders/>
            <w:shd w:fill="E7E7E2" w:val="clear"/>
            <w:vAlign w:val="center"/>
          </w:tcPr>
          <w:p>
            <w:pPr>
              <w:pStyle w:val="TableContents"/>
              <w:bidi w:val="0"/>
              <w:spacing w:before="0" w:after="283"/>
              <w:jc w:val="left"/>
              <w:rPr/>
            </w:pPr>
            <w:r>
              <w:rPr/>
              <w:t xml:space="preserve">Ordinary Shares, par value EUR 0.05 per share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350,000 </w:t>
            </w:r>
          </w:p>
        </w:tc>
        <w:tc>
          <w:tcPr>
            <w:tcW w:w="1220" w:type="dxa"/>
            <w:tcBorders/>
            <w:shd w:fill="E7E7E2" w:val="clear"/>
            <w:vAlign w:val="center"/>
          </w:tcPr>
          <w:p>
            <w:pPr>
              <w:pStyle w:val="TableContents"/>
              <w:bidi w:val="0"/>
              <w:spacing w:before="0" w:after="283"/>
              <w:jc w:val="right"/>
              <w:rPr/>
            </w:pPr>
            <w:r>
              <w:rPr/>
              <w:t xml:space="preserve">$ 39.08 </w:t>
            </w:r>
          </w:p>
        </w:tc>
        <w:tc>
          <w:tcPr>
            <w:tcW w:w="1705" w:type="dxa"/>
            <w:tcBorders/>
            <w:shd w:fill="E7E7E2" w:val="clear"/>
            <w:vAlign w:val="center"/>
          </w:tcPr>
          <w:p>
            <w:pPr>
              <w:pStyle w:val="TableContents"/>
              <w:bidi w:val="0"/>
              <w:spacing w:before="0" w:after="283"/>
              <w:jc w:val="right"/>
              <w:rPr/>
            </w:pPr>
            <w:r>
              <w:rPr/>
              <w:t xml:space="preserve">$ 13,678,000.00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$ 1,888.93 </w:t>
            </w:r>
          </w:p>
        </w:tc>
      </w:tr>
      <w:tr>
        <w:trPr/>
        <w:tc>
          <w:tcPr>
            <w:tcW w:w="4724" w:type="dxa"/>
            <w:gridSpan w:val="5"/>
            <w:tcBorders/>
            <w:vAlign w:val="center"/>
          </w:tcPr>
          <w:p>
            <w:pPr>
              <w:pStyle w:val="TableContents"/>
              <w:bidi w:val="0"/>
              <w:spacing w:before="0" w:after="0"/>
              <w:ind w:left="0" w:right="0" w:hanging="0"/>
              <w:jc w:val="right"/>
              <w:rPr/>
            </w:pPr>
            <w:r>
              <w:rPr/>
              <w:t>Total Offering Amounts:</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0"/>
              <w:ind w:left="0" w:right="0" w:hanging="0"/>
              <w:jc w:val="right"/>
              <w:rPr/>
            </w:pPr>
            <w:bookmarkStart w:id="12" w:name="MaxAggtOfferingPrice"/>
            <w:bookmarkEnd w:id="12"/>
            <w:r>
              <w:rPr/>
              <w:t xml:space="preserve">$ 13,678,000.00 </w:t>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3" w:name="TotalFeeAmt"/>
            <w:bookmarkEnd w:id="13"/>
            <w:r>
              <w:rPr/>
              <w:t xml:space="preserve">$ 1,888.93 </w:t>
            </w:r>
          </w:p>
        </w:tc>
      </w:tr>
      <w:tr>
        <w:trPr/>
        <w:tc>
          <w:tcPr>
            <w:tcW w:w="4724" w:type="dxa"/>
            <w:gridSpan w:val="5"/>
            <w:tcBorders/>
            <w:vAlign w:val="center"/>
          </w:tcPr>
          <w:p>
            <w:pPr>
              <w:pStyle w:val="TableContents"/>
              <w:bidi w:val="0"/>
              <w:spacing w:before="0" w:after="0"/>
              <w:ind w:left="0" w:right="0" w:hanging="0"/>
              <w:jc w:val="right"/>
              <w:rPr/>
            </w:pPr>
            <w:r>
              <w:rPr/>
              <w:t xml:space="preserve">Total Fee Offsets: </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TotalOffsetAmt"/>
            <w:bookmarkEnd w:id="14"/>
            <w:r>
              <w:rPr/>
              <w:t xml:space="preserve">$ 0.00 </w:t>
            </w:r>
          </w:p>
        </w:tc>
      </w:tr>
      <w:tr>
        <w:trPr/>
        <w:tc>
          <w:tcPr>
            <w:tcW w:w="4724" w:type="dxa"/>
            <w:gridSpan w:val="5"/>
            <w:tcBorders/>
            <w:vAlign w:val="center"/>
          </w:tcPr>
          <w:p>
            <w:pPr>
              <w:pStyle w:val="TableContents"/>
              <w:bidi w:val="0"/>
              <w:spacing w:before="0" w:after="0"/>
              <w:ind w:left="0" w:right="0" w:hanging="0"/>
              <w:jc w:val="right"/>
              <w:rPr/>
            </w:pPr>
            <w:r>
              <w:rPr/>
              <w:t xml:space="preserve">Net Fee Due: </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5" w:name="NetFeeAmt"/>
            <w:bookmarkEnd w:id="15"/>
            <w:r>
              <w:rPr/>
              <w:t xml:space="preserve">$ 1,888.93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be deemed to cover an indeterminate amount of additional ordinary shares, par value EUR 0.05 per share, of the Registrant ("Ordinary Shares") that may be offered and issued as a result of any share split, share dividend or similar transactions. Represents an additional 350,000 Ordinary Shares available for issuance under the Registrant's Amended and Restated 2014 Share Incentive Plan. Estimated solely for the purpose of calculating the registration fee pursuant to Rules 457(c) and 457(h) of the Securities Act, and based upon the average of the high and low prices of the Ordinary Shares as reported on the Nasdaq Global Select Market on July 27,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0560/000110465914057278/a14-18182_1s8.htm" TargetMode="External"/><Relationship Id="rId3" Type="http://schemas.openxmlformats.org/officeDocument/2006/relationships/hyperlink" Target="https://www.sec.gov/Archives/edgar/data/1590560/000110465917032788/a17-13048_1s8.htm" TargetMode="External"/><Relationship Id="rId4" Type="http://schemas.openxmlformats.org/officeDocument/2006/relationships/hyperlink" Target="https://www.sec.gov/Archives/edgar/data/1590560/000110465918040176/a18-15169_3s8.htm" TargetMode="External"/><Relationship Id="rId5" Type="http://schemas.openxmlformats.org/officeDocument/2006/relationships/hyperlink" Target="https://www.sec.gov/Archives/edgar/data/1590560/000110465921093798/tm2122459d1_s8.htm" TargetMode="External"/><Relationship Id="rId6" Type="http://schemas.openxmlformats.org/officeDocument/2006/relationships/hyperlink" Target="https://www.sec.gov/Archives/edgar/data/1590560/000155837024001917/tmb-20240228xs8.htm" TargetMode="External"/><Relationship Id="rId7" Type="http://schemas.openxmlformats.org/officeDocument/2006/relationships/hyperlink" Target="https://www.sec.gov/Archives/edgar/data/1590560/000155837024010536/tmb-20240730xs8.htm" TargetMode="External"/><Relationship Id="rId8" Type="http://schemas.openxmlformats.org/officeDocument/2006/relationships/hyperlink" Target="https://www.sec.gov/Archives/edgar/data/1590560/000155837025008986/qure-20250630xs8.htm" TargetMode="External"/><Relationship Id="rId9" Type="http://schemas.openxmlformats.org/officeDocument/2006/relationships/hyperlink" Target="https://www.sec.gov/ix?doc=/Archives/edgar/data/1590560/000110465926021898/qure-20251231x10k.htm" TargetMode="External"/><Relationship Id="rId10" Type="http://schemas.openxmlformats.org/officeDocument/2006/relationships/hyperlink" Target="https://www.sec.gov/ix?doc=/Archives/edgar/data/1590560/000110465926055250/qure-20260331x10q.htm" TargetMode="External"/><Relationship Id="rId11" Type="http://schemas.openxmlformats.org/officeDocument/2006/relationships/hyperlink" Target="https://www.sec.gov/ix?doc=/Archives/edgar/data/1590560/000110465926087815/qure-20260630x10q.htm" TargetMode="External"/><Relationship Id="rId12" Type="http://schemas.openxmlformats.org/officeDocument/2006/relationships/hyperlink" Target="https://www.sec.gov/ix?doc=/Archives/edgar/data/1590560/000110465926048969/qure-20260610xdef14a.htm" TargetMode="External"/><Relationship Id="rId13" Type="http://schemas.openxmlformats.org/officeDocument/2006/relationships/hyperlink" Target="https://www.sec.gov/Archives/edgar/data/1590560/000110465914005579/a13-23216_78a12b.htm" TargetMode="External"/><Relationship Id="rId14" Type="http://schemas.openxmlformats.org/officeDocument/2006/relationships/hyperlink" Target="https://www.sec.gov/Archives/edgar/data/1590560/000110465926074067/tm2617889d1_ex10-1.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4602</Words>
  <Characters>24934</Characters>
  <CharactersWithSpaces>29608</CharactersWithSpaces>
  <Paragraphs>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