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uniQure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value(euro)0.05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Aberdeen Group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2,848,117.00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2,848,117.00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2,848,117.00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abrdn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2,848,117.00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2,848,117.00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2,848,117.00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55"/>
        <w:gridCol w:w="8995"/>
        <w:gridCol w:w="155"/>
      </w:tblGrid>
      <w:tr>
        <w:trPr/>
        <w:tc>
          <w:tcPr>
            <w:tcW w:w="1055" w:type="dxa"/>
            <w:tcBorders/>
            <w:vAlign w:val="center"/>
          </w:tcPr>
          <w:p>
            <w:pPr>
              <w:pStyle w:val="TableContents"/>
              <w:bidi w:val="0"/>
              <w:spacing w:before="0" w:after="283"/>
              <w:jc w:val="left"/>
              <w:rPr/>
            </w:pPr>
            <w:r>
              <w:rPr/>
              <w:t>Item 1.</w:t>
            </w:r>
          </w:p>
        </w:tc>
        <w:tc>
          <w:tcPr>
            <w:tcW w:w="89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(a)</w:t>
            </w:r>
          </w:p>
        </w:tc>
        <w:tc>
          <w:tcPr>
            <w:tcW w:w="8995" w:type="dxa"/>
            <w:tcBorders/>
            <w:vAlign w:val="center"/>
          </w:tcPr>
          <w:p>
            <w:pPr>
              <w:pStyle w:val="TableContents"/>
              <w:bidi w:val="0"/>
              <w:jc w:val="left"/>
              <w:rPr/>
            </w:pPr>
            <w:r>
              <w:rPr/>
              <w:t xml:space="preserve">Name of issuer: </w:t>
            </w:r>
          </w:p>
          <w:p>
            <w:pPr>
              <w:pStyle w:val="TableContents"/>
              <w:bidi w:val="0"/>
              <w:spacing w:before="0" w:after="0"/>
              <w:jc w:val="left"/>
              <w:rPr/>
            </w:pPr>
            <w:r>
              <w:rPr/>
              <w:t>uniQure N.V.</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(b)</w:t>
            </w:r>
          </w:p>
        </w:tc>
        <w:tc>
          <w:tcPr>
            <w:tcW w:w="89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PAASHEUVELWEG 25A, AMSTERDAM, NETHERLANDS 1105 BP</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2.</w:t>
            </w:r>
          </w:p>
        </w:tc>
        <w:tc>
          <w:tcPr>
            <w:tcW w:w="89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(a)</w:t>
            </w:r>
          </w:p>
        </w:tc>
        <w:tc>
          <w:tcPr>
            <w:tcW w:w="89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Aberdeen Group plc abrdn Inc.</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(b)</w:t>
            </w:r>
          </w:p>
        </w:tc>
        <w:tc>
          <w:tcPr>
            <w:tcW w:w="89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Aberdeen Group plc: 1 George Street Edinburgh, United Kingdom EH2 2LL abrdn Inc. 1900 Market Street Suite 200.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(c)</w:t>
            </w:r>
          </w:p>
        </w:tc>
        <w:tc>
          <w:tcPr>
            <w:tcW w:w="8995" w:type="dxa"/>
            <w:tcBorders/>
            <w:vAlign w:val="center"/>
          </w:tcPr>
          <w:p>
            <w:pPr>
              <w:pStyle w:val="TableContents"/>
              <w:bidi w:val="0"/>
              <w:jc w:val="left"/>
              <w:rPr/>
            </w:pPr>
            <w:r>
              <w:rPr/>
              <w:t xml:space="preserve">Citizenship: </w:t>
            </w:r>
          </w:p>
          <w:p>
            <w:pPr>
              <w:pStyle w:val="TableContents"/>
              <w:bidi w:val="0"/>
              <w:spacing w:before="0" w:after="0"/>
              <w:jc w:val="left"/>
              <w:rPr/>
            </w:pPr>
            <w:r>
              <w:rPr/>
              <w:t>Aberdeen Group plc - UNITED KINGDOM abrdn Inc. - UNITED STATES</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(d)</w:t>
            </w:r>
          </w:p>
        </w:tc>
        <w:tc>
          <w:tcPr>
            <w:tcW w:w="89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value(euro)0.05 per share</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(e)</w:t>
            </w:r>
          </w:p>
        </w:tc>
        <w:tc>
          <w:tcPr>
            <w:tcW w:w="89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3.</w:t>
            </w:r>
          </w:p>
        </w:tc>
        <w:tc>
          <w:tcPr>
            <w:tcW w:w="89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(a)</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(b)</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(c)</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(d)</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(e)</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(f)</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(g)</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(h)</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(j)</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(k)</w:t>
            </w:r>
          </w:p>
        </w:tc>
        <w:tc>
          <w:tcPr>
            <w:tcW w:w="89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9150" w:type="dxa"/>
            <w:gridSpan w:val="2"/>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4.</w:t>
            </w:r>
          </w:p>
        </w:tc>
        <w:tc>
          <w:tcPr>
            <w:tcW w:w="89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(a)</w:t>
            </w:r>
          </w:p>
        </w:tc>
        <w:tc>
          <w:tcPr>
            <w:tcW w:w="89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2,848,117</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(b)</w:t>
            </w:r>
          </w:p>
        </w:tc>
        <w:tc>
          <w:tcPr>
            <w:tcW w:w="89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4.52  %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(c)</w:t>
            </w:r>
          </w:p>
        </w:tc>
        <w:tc>
          <w:tcPr>
            <w:tcW w:w="89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Aberdeen Group plc - 0 abrdn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Aberdeen Group plc - 2,848,117 abrdn Inc. - 2,848,117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Aberdeen Group plc - 0 abrdn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Aberdeen Group plc - 2,848,117 abrdn Inc. - 2,848,117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5.</w:t>
            </w:r>
          </w:p>
        </w:tc>
        <w:tc>
          <w:tcPr>
            <w:tcW w:w="89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6.</w:t>
            </w:r>
          </w:p>
        </w:tc>
        <w:tc>
          <w:tcPr>
            <w:tcW w:w="89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7.</w:t>
            </w:r>
          </w:p>
        </w:tc>
        <w:tc>
          <w:tcPr>
            <w:tcW w:w="89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8.</w:t>
            </w:r>
          </w:p>
        </w:tc>
        <w:tc>
          <w:tcPr>
            <w:tcW w:w="89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Item 9.</w:t>
            </w:r>
          </w:p>
        </w:tc>
        <w:tc>
          <w:tcPr>
            <w:tcW w:w="89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89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Aberdeen Group plc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Cara Bird</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Cara Bird / Major Shareholding Reporting Analyst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tbl>
      <w:tblPr>
        <w:tblW w:w="2466" w:type="dxa"/>
        <w:jc w:val="left"/>
        <w:tblInd w:w="0" w:type="dxa"/>
        <w:tblLayout w:type="fixed"/>
        <w:tblCellMar>
          <w:top w:w="28" w:type="dxa"/>
          <w:left w:w="28" w:type="dxa"/>
          <w:bottom w:w="28" w:type="dxa"/>
          <w:right w:w="28" w:type="dxa"/>
        </w:tblCellMar>
      </w:tblPr>
      <w:tblGrid>
        <w:gridCol w:w="1233"/>
        <w:gridCol w:w="1233"/>
      </w:tblGrid>
      <w:tr>
        <w:trPr/>
        <w:tc>
          <w:tcPr>
            <w:tcW w:w="1233" w:type="dxa"/>
            <w:tcBorders/>
            <w:vAlign w:val="center"/>
          </w:tcPr>
          <w:p>
            <w:pPr>
              <w:pStyle w:val="TableContents"/>
              <w:bidi w:val="0"/>
              <w:spacing w:before="0" w:after="0"/>
              <w:jc w:val="left"/>
              <w:rPr/>
            </w:pPr>
            <w:r>
              <w:rPr/>
              <w:t> </w:t>
            </w:r>
          </w:p>
          <w:tbl>
            <w:tblPr>
              <w:tblW w:w="1126" w:type="dxa"/>
              <w:jc w:val="left"/>
              <w:tblInd w:w="0" w:type="dxa"/>
              <w:tblLayout w:type="fixed"/>
              <w:tblCellMar>
                <w:top w:w="28" w:type="dxa"/>
                <w:left w:w="28" w:type="dxa"/>
                <w:bottom w:w="28" w:type="dxa"/>
                <w:right w:w="28" w:type="dxa"/>
              </w:tblCellMar>
            </w:tblPr>
            <w:tblGrid>
              <w:gridCol w:w="1126"/>
            </w:tblGrid>
            <w:tr>
              <w:trPr/>
              <w:tc>
                <w:tcPr>
                  <w:tcW w:w="1126" w:type="dxa"/>
                  <w:tcBorders/>
                  <w:vAlign w:val="center"/>
                </w:tcPr>
                <w:p>
                  <w:pPr>
                    <w:pStyle w:val="TableContents"/>
                    <w:bidi w:val="0"/>
                    <w:spacing w:before="0" w:after="0"/>
                    <w:jc w:val="left"/>
                    <w:rPr/>
                  </w:pPr>
                  <w:r>
                    <w:rPr/>
                    <w:t>abrdn Inc.</w:t>
                  </w:r>
                </w:p>
              </w:tc>
            </w:tr>
          </w:tbl>
          <w:p>
            <w:pPr>
              <w:pStyle w:val="TableContents"/>
              <w:bidi w:val="0"/>
              <w:spacing w:before="0" w:after="283"/>
              <w:jc w:val="left"/>
              <w:rPr/>
            </w:pPr>
            <w:r>
              <w:rPr/>
            </w:r>
          </w:p>
        </w:tc>
        <w:tc>
          <w:tcPr>
            <w:tcW w:w="12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Cara Bird</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Cara Bird / Major Shareholding Reporting Analyst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Aberdeen Group plc abrdn Holdings Limited abrdn Inc. Aberdeen Group plc is the parent company. abrdn Holdings Limited is the intermediate holding company for abrdn Inc. abrdn Inc. beneficially owns on behalf of our underlying clients less than 5% of the outstanding shares of the security class being reported on this Schedule 13G.</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5346</Characters>
  <CharactersWithSpaces>6356</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